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36CE6AB2" w:rsidR="00B75B08" w:rsidRPr="00BC42A7" w:rsidRDefault="0069111B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Agriculture, Food, and Natural Resources</w:t>
            </w: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256623BC" w:rsidR="00B75B08" w:rsidRPr="00BC42A7" w:rsidRDefault="0069111B" w:rsidP="00AC7B34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Power, Structural, and Technical Systems</w:t>
            </w: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50A9D75A" w:rsidR="00B75B08" w:rsidRPr="00F44EE4" w:rsidRDefault="0069111B" w:rsidP="000F233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bookmarkStart w:id="0" w:name="_GoBack"/>
            <w:r w:rsidRPr="00F44EE4">
              <w:rPr>
                <w:rFonts w:eastAsia="Times New Roman" w:cs="Times New Roman"/>
                <w:color w:val="000000"/>
              </w:rPr>
              <w:t xml:space="preserve">Agricultural </w:t>
            </w:r>
            <w:r w:rsidR="000F233F" w:rsidRPr="00F44EE4">
              <w:rPr>
                <w:rFonts w:eastAsia="Times New Roman" w:cs="Times New Roman"/>
                <w:color w:val="000000"/>
              </w:rPr>
              <w:t>Power</w:t>
            </w:r>
            <w:r w:rsidRPr="00F44EE4">
              <w:rPr>
                <w:rFonts w:eastAsia="Times New Roman" w:cs="Times New Roman"/>
                <w:color w:val="000000"/>
              </w:rPr>
              <w:t xml:space="preserve"> and Engineering</w:t>
            </w:r>
            <w:bookmarkEnd w:id="0"/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666B72" w:rsidRPr="00BC42A7" w14:paraId="67F7927B" w14:textId="77777777" w:rsidTr="0054001F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C1E12A6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28C7347B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78146F39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Change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5503F3CD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Growth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6C529E9E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Avg. Wage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</w:tr>
      <w:tr w:rsidR="00F66072" w:rsidRPr="00BC42A7" w14:paraId="5F381AED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B628F" w14:textId="27D220B0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0D4AC" w14:textId="0BBE6F8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137,896,660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BCAAF" w14:textId="13B9BEE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9,788,900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B93AF" w14:textId="004F6BB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D80EF" w14:textId="2BCB662F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$48,320    </w:t>
            </w:r>
          </w:p>
        </w:tc>
      </w:tr>
      <w:tr w:rsidR="00F66072" w:rsidRPr="00BC42A7" w14:paraId="4645BDE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DE898" w14:textId="09C4366B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0B150" w14:textId="071E83F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433,840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F1658" w14:textId="0FE146C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37,150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DE00" w14:textId="2711668F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8.1%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96A0A" w14:textId="28E6FD2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$50,300    </w:t>
            </w:r>
          </w:p>
        </w:tc>
      </w:tr>
      <w:tr w:rsidR="00F66072" w:rsidRPr="00BC42A7" w14:paraId="17F7660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385A5" w14:textId="3C1CCE5A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B060C" w14:textId="050AB6DE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676,060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3E4FC" w14:textId="7655B00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46,040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45D3C" w14:textId="1633EBDE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6.0%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C9776D" w14:textId="698EAD7D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$80,150    </w:t>
            </w:r>
          </w:p>
        </w:tc>
      </w:tr>
      <w:tr w:rsidR="00F66072" w:rsidRPr="00BC42A7" w14:paraId="39F2EC2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183FE" w14:textId="71E7A257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016744" w14:textId="1C1C9FD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2,596,630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E353D3" w14:textId="56079C5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504,540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3A15E" w14:textId="7612EF66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18.2%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226113" w14:textId="23900F4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$54,630    </w:t>
            </w:r>
          </w:p>
        </w:tc>
      </w:tr>
      <w:tr w:rsidR="00F66072" w:rsidRPr="00BC42A7" w14:paraId="257994B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D98AB" w14:textId="39527B68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684A0" w14:textId="58426E6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3,906,800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AEA49" w14:textId="18F4D80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275,310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ABC2D" w14:textId="18880F5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1D308" w14:textId="4976383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$54,950    </w:t>
            </w:r>
          </w:p>
        </w:tc>
      </w:tr>
      <w:tr w:rsidR="00F66072" w:rsidRPr="00BC42A7" w14:paraId="38BEC9C3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FE5D3" w14:textId="54325161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D0A0CC" w14:textId="33CA0F0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5,709,480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5A772" w14:textId="10C6C5E4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345,920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5AB7C" w14:textId="5A40CAB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5.7%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F0A38A" w14:textId="6012CA6D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$46,550    </w:t>
            </w:r>
          </w:p>
        </w:tc>
      </w:tr>
      <w:tr w:rsidR="00F66072" w:rsidRPr="00BC42A7" w14:paraId="19537FEB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A714CF" w14:textId="511DD5A0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D5F3C1" w14:textId="10133F1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3,682,450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539E9" w14:textId="35037F01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368,050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BB70CB" w14:textId="529CF012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9.3%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EAB9" w14:textId="69128C65" w:rsidR="00F66072" w:rsidRPr="00AC7B34" w:rsidRDefault="00F66072" w:rsidP="00F66072">
            <w:pPr>
              <w:tabs>
                <w:tab w:val="left" w:pos="1673"/>
              </w:tabs>
              <w:spacing w:after="0" w:line="240" w:lineRule="auto"/>
              <w:ind w:left="720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t xml:space="preserve">   </w:t>
            </w:r>
            <w:r w:rsidRPr="00DD097E">
              <w:t xml:space="preserve">$51,670 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13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44"/>
        <w:gridCol w:w="3510"/>
        <w:gridCol w:w="924"/>
        <w:gridCol w:w="924"/>
        <w:gridCol w:w="924"/>
        <w:gridCol w:w="1032"/>
        <w:gridCol w:w="1332"/>
        <w:gridCol w:w="1350"/>
        <w:gridCol w:w="1350"/>
        <w:gridCol w:w="1260"/>
      </w:tblGrid>
      <w:tr w:rsidR="00B92821" w:rsidRPr="00BC42A7" w14:paraId="7657BE7C" w14:textId="77777777" w:rsidTr="00B92821">
        <w:trPr>
          <w:trHeight w:val="372"/>
          <w:jc w:val="center"/>
        </w:trPr>
        <w:tc>
          <w:tcPr>
            <w:tcW w:w="924" w:type="dxa"/>
          </w:tcPr>
          <w:p w14:paraId="1A3E7A78" w14:textId="77777777" w:rsidR="00B92821" w:rsidRDefault="00B92821" w:rsidP="00E56FFC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7758" w:type="dxa"/>
            <w:gridSpan w:val="6"/>
            <w:shd w:val="clear" w:color="auto" w:fill="auto"/>
            <w:noWrap/>
            <w:vAlign w:val="bottom"/>
            <w:hideMark/>
          </w:tcPr>
          <w:p w14:paraId="1AB18154" w14:textId="72D96D2E" w:rsidR="00B92821" w:rsidRPr="00BC42A7" w:rsidRDefault="00B92821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shd w:val="clear" w:color="auto" w:fill="auto"/>
            <w:noWrap/>
            <w:vAlign w:val="center"/>
            <w:hideMark/>
          </w:tcPr>
          <w:p w14:paraId="26BB311C" w14:textId="77777777" w:rsidR="00B92821" w:rsidRPr="00BC42A7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B92821" w:rsidRPr="00BC42A7" w14:paraId="137011E5" w14:textId="77777777" w:rsidTr="00AF1304">
        <w:trPr>
          <w:trHeight w:val="655"/>
          <w:jc w:val="center"/>
        </w:trPr>
        <w:tc>
          <w:tcPr>
            <w:tcW w:w="1368" w:type="dxa"/>
            <w:gridSpan w:val="2"/>
            <w:shd w:val="clear" w:color="auto" w:fill="DEEAF6" w:themeFill="accent1" w:themeFillTint="33"/>
            <w:vAlign w:val="center"/>
            <w:hideMark/>
          </w:tcPr>
          <w:p w14:paraId="1F33878C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3510" w:type="dxa"/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924" w:type="dxa"/>
            <w:shd w:val="clear" w:color="auto" w:fill="DEEAF6" w:themeFill="accent1" w:themeFillTint="33"/>
            <w:vAlign w:val="center"/>
            <w:hideMark/>
          </w:tcPr>
          <w:p w14:paraId="3960E8E1" w14:textId="1A981329" w:rsidR="00B92821" w:rsidRPr="00162DCA" w:rsidRDefault="00AF130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Middle </w:t>
            </w:r>
            <w:r w:rsidR="00B92821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924" w:type="dxa"/>
            <w:shd w:val="clear" w:color="auto" w:fill="DEEAF6" w:themeFill="accent1" w:themeFillTint="33"/>
            <w:vAlign w:val="center"/>
          </w:tcPr>
          <w:p w14:paraId="46CD0480" w14:textId="7FEBB975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shd w:val="clear" w:color="auto" w:fill="DEEAF6" w:themeFill="accent1" w:themeFillTint="33"/>
            <w:vAlign w:val="center"/>
            <w:hideMark/>
          </w:tcPr>
          <w:p w14:paraId="55D2DE86" w14:textId="69ED11B4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shd w:val="clear" w:color="auto" w:fill="DEEAF6" w:themeFill="accent1" w:themeFillTint="33"/>
            <w:vAlign w:val="center"/>
            <w:hideMark/>
          </w:tcPr>
          <w:p w14:paraId="15AF8BE8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shd w:val="clear" w:color="auto" w:fill="DEEAF6" w:themeFill="accent1" w:themeFillTint="33"/>
            <w:vAlign w:val="center"/>
            <w:hideMark/>
          </w:tcPr>
          <w:p w14:paraId="0A96F2DD" w14:textId="45D5D092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  <w:hideMark/>
          </w:tcPr>
          <w:p w14:paraId="5BEFC8DF" w14:textId="2938DAE8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  <w:hideMark/>
          </w:tcPr>
          <w:p w14:paraId="18FA02E2" w14:textId="29019FC9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  <w:hideMark/>
          </w:tcPr>
          <w:p w14:paraId="4A4D52D8" w14:textId="2B9E1809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D4369A" w:rsidRPr="00BC42A7" w14:paraId="4C47D1CC" w14:textId="77777777" w:rsidTr="00D4369A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  <w:hideMark/>
          </w:tcPr>
          <w:p w14:paraId="4D6B4779" w14:textId="1ABB89C7" w:rsidR="00D4369A" w:rsidRPr="004663FD" w:rsidRDefault="003E287E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7A1B929" w14:textId="6B5AFBBD" w:rsidR="00D4369A" w:rsidRPr="004663FD" w:rsidRDefault="003E287E" w:rsidP="00D4369A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Agriculture, Food, and Natural Resources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492953" w14:textId="0278289E" w:rsidR="00D4369A" w:rsidRPr="004663FD" w:rsidRDefault="00B00ACF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vAlign w:val="center"/>
          </w:tcPr>
          <w:p w14:paraId="26A7DDF8" w14:textId="671FCD63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C2F6F2" w14:textId="2A2BA32D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118878B0" w14:textId="36F0D34C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B8AA917" w14:textId="38906D32" w:rsidR="00D4369A" w:rsidRPr="004663FD" w:rsidRDefault="00B00ACF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85B730" w14:textId="1D90F356" w:rsidR="00D4369A" w:rsidRPr="004663FD" w:rsidRDefault="00B00ACF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1D1927E" w14:textId="03C3A4E9" w:rsidR="00D4369A" w:rsidRPr="004663FD" w:rsidRDefault="00B00ACF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EDAE63" w14:textId="1D62D3A7" w:rsidR="00D4369A" w:rsidRPr="004663FD" w:rsidRDefault="00B00ACF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$59,758</w:t>
            </w:r>
          </w:p>
        </w:tc>
      </w:tr>
      <w:tr w:rsidR="00085688" w:rsidRPr="00BC42A7" w14:paraId="383EFF7D" w14:textId="77777777" w:rsidTr="003C3ED4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14:paraId="5573F73B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14" w:type="dxa"/>
            <w:gridSpan w:val="5"/>
          </w:tcPr>
          <w:p w14:paraId="067A0024" w14:textId="10FB3050" w:rsidR="00085688" w:rsidRPr="004663FD" w:rsidRDefault="00085688" w:rsidP="00085688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164285E" w14:textId="013BF318" w:rsidR="00085688" w:rsidRPr="00085688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856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(15 out of 16)</w:t>
            </w:r>
          </w:p>
        </w:tc>
        <w:tc>
          <w:tcPr>
            <w:tcW w:w="1350" w:type="dxa"/>
            <w:shd w:val="clear" w:color="auto" w:fill="auto"/>
            <w:noWrap/>
          </w:tcPr>
          <w:p w14:paraId="4A6D55F8" w14:textId="28780044" w:rsidR="00085688" w:rsidRPr="00085688" w:rsidRDefault="00085688" w:rsidP="00085688">
            <w:pPr>
              <w:spacing w:after="0" w:line="276" w:lineRule="auto"/>
              <w:ind w:left="-44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85688">
              <w:rPr>
                <w:i/>
                <w:sz w:val="20"/>
              </w:rPr>
              <w:t>(16 out of 16)</w:t>
            </w:r>
          </w:p>
        </w:tc>
        <w:tc>
          <w:tcPr>
            <w:tcW w:w="1350" w:type="dxa"/>
            <w:shd w:val="clear" w:color="auto" w:fill="auto"/>
            <w:noWrap/>
          </w:tcPr>
          <w:p w14:paraId="5F87F14B" w14:textId="27BC2DBC" w:rsidR="00085688" w:rsidRPr="00085688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85688">
              <w:rPr>
                <w:i/>
                <w:sz w:val="20"/>
              </w:rPr>
              <w:t>(16 out of 16)</w:t>
            </w:r>
          </w:p>
        </w:tc>
        <w:tc>
          <w:tcPr>
            <w:tcW w:w="1260" w:type="dxa"/>
            <w:shd w:val="clear" w:color="auto" w:fill="auto"/>
            <w:noWrap/>
          </w:tcPr>
          <w:p w14:paraId="7D40C127" w14:textId="3F7CC0C8" w:rsidR="00085688" w:rsidRPr="00085688" w:rsidRDefault="00085688" w:rsidP="00085688">
            <w:pPr>
              <w:spacing w:after="0" w:line="276" w:lineRule="auto"/>
              <w:ind w:left="-44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85688">
              <w:rPr>
                <w:i/>
                <w:sz w:val="20"/>
              </w:rPr>
              <w:t>(6 out of 16)</w:t>
            </w:r>
          </w:p>
        </w:tc>
      </w:tr>
      <w:tr w:rsidR="00300157" w:rsidRPr="00BC42A7" w14:paraId="370541C4" w14:textId="77777777" w:rsidTr="00AC7B34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  <w:hideMark/>
          </w:tcPr>
          <w:p w14:paraId="7A486409" w14:textId="7CBE7238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510" w:type="dxa"/>
            <w:shd w:val="clear" w:color="auto" w:fill="E2EFD9" w:themeFill="accent6" w:themeFillTint="33"/>
            <w:noWrap/>
            <w:vAlign w:val="bottom"/>
          </w:tcPr>
          <w:p w14:paraId="4632A0CF" w14:textId="6DC064AD" w:rsidR="00300157" w:rsidRPr="004663FD" w:rsidRDefault="00B00ACF" w:rsidP="0030015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Power, Structural &amp; Technical Systems</w:t>
            </w: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1F50027D" w14:textId="2724F122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304DC6D0" w14:textId="340DFF12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5B7C2E5B" w14:textId="51A7F926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  <w:vAlign w:val="center"/>
          </w:tcPr>
          <w:p w14:paraId="460B34B2" w14:textId="28F8B9AF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noWrap/>
          </w:tcPr>
          <w:p w14:paraId="36F17020" w14:textId="275D55E8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67673ED5" w14:textId="491B2D2C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7EE26EF5" w14:textId="5872E915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260" w:type="dxa"/>
            <w:shd w:val="clear" w:color="auto" w:fill="E2EFD9" w:themeFill="accent6" w:themeFillTint="33"/>
            <w:noWrap/>
          </w:tcPr>
          <w:p w14:paraId="4FC79754" w14:textId="410718DD" w:rsidR="00300157" w:rsidRPr="004663FD" w:rsidRDefault="00B00ACF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$33,602</w:t>
            </w:r>
          </w:p>
        </w:tc>
      </w:tr>
      <w:tr w:rsidR="004E3730" w:rsidRPr="00BC4F57" w14:paraId="14326CBE" w14:textId="77777777" w:rsidTr="00693918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14:paraId="797F6BFA" w14:textId="77777777"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4" w:type="dxa"/>
            <w:gridSpan w:val="5"/>
          </w:tcPr>
          <w:p w14:paraId="560F81FC" w14:textId="32D0E7DD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1332" w:type="dxa"/>
            <w:shd w:val="clear" w:color="auto" w:fill="FFFFFF" w:themeFill="background1"/>
            <w:noWrap/>
            <w:vAlign w:val="center"/>
          </w:tcPr>
          <w:p w14:paraId="2BFA88D9" w14:textId="631E71A1" w:rsidR="004E3730" w:rsidRPr="00BC4F57" w:rsidRDefault="00BC4F57" w:rsidP="00BC4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C4F5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(5 out of 7)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560C0AD" w14:textId="4A567907" w:rsidR="004E3730" w:rsidRPr="00BC4F57" w:rsidRDefault="00BC4F57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C4F5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(3 out of 7)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BCC9081" w14:textId="290A4C06" w:rsidR="004E3730" w:rsidRPr="00BC4F57" w:rsidRDefault="00BC4F57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C4F5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(2 out of 7)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61D06EAA" w14:textId="790D2EDF" w:rsidR="004E3730" w:rsidRPr="00BC4F57" w:rsidRDefault="00BC4F57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C4F5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(6 out of 7)</w:t>
            </w:r>
          </w:p>
        </w:tc>
      </w:tr>
      <w:tr w:rsidR="00B00ACF" w:rsidRPr="00BC42A7" w14:paraId="25B21360" w14:textId="77777777" w:rsidTr="00E65F1C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14:paraId="5FB8C448" w14:textId="2C7234CA" w:rsidR="00B00ACF" w:rsidRPr="004663FD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E2EFD9" w:themeFill="accent6" w:themeFillTint="33"/>
            <w:noWrap/>
          </w:tcPr>
          <w:p w14:paraId="4E4EF451" w14:textId="475C9EE4" w:rsidR="00B00ACF" w:rsidRPr="00B00ACF" w:rsidRDefault="00B00ACF" w:rsidP="00B00AC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>Power, Structural &amp; Technical Systems – Mid-Atlantic States</w:t>
            </w: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45FFB26C" w14:textId="67428FA5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08673564" w14:textId="77777777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7D6CC1C2" w14:textId="46140095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  <w:vAlign w:val="center"/>
          </w:tcPr>
          <w:p w14:paraId="5052183A" w14:textId="0C9593FC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noWrap/>
          </w:tcPr>
          <w:p w14:paraId="7878405C" w14:textId="1933A272" w:rsidR="00B00ACF" w:rsidRPr="00B00ACF" w:rsidRDefault="00B00ACF" w:rsidP="00B00ACF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3,060     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3849FAB7" w14:textId="144EEA35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>696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09240A89" w14:textId="27984DB5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8.4%           </w:t>
            </w:r>
          </w:p>
        </w:tc>
        <w:tc>
          <w:tcPr>
            <w:tcW w:w="1260" w:type="dxa"/>
            <w:shd w:val="clear" w:color="auto" w:fill="E2EFD9" w:themeFill="accent6" w:themeFillTint="33"/>
            <w:noWrap/>
          </w:tcPr>
          <w:p w14:paraId="46B4EB42" w14:textId="18E9E69B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$38,919  </w:t>
            </w:r>
          </w:p>
        </w:tc>
      </w:tr>
      <w:tr w:rsidR="00B00ACF" w:rsidRPr="00BC42A7" w14:paraId="019101D3" w14:textId="77777777" w:rsidTr="00E65F1C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14:paraId="4C98F717" w14:textId="07377433" w:rsidR="00B00ACF" w:rsidRPr="004663FD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510" w:type="dxa"/>
            <w:shd w:val="clear" w:color="auto" w:fill="E2EFD9" w:themeFill="accent6" w:themeFillTint="33"/>
            <w:noWrap/>
          </w:tcPr>
          <w:p w14:paraId="234C1C40" w14:textId="47A1256D" w:rsidR="00B00ACF" w:rsidRPr="00B00ACF" w:rsidRDefault="00B00ACF" w:rsidP="00B00AC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>Power, Structural &amp; Technical Systems – United States</w:t>
            </w: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39E4967F" w14:textId="76D7E11F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650AAFC4" w14:textId="4FB95BC9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  <w:vAlign w:val="center"/>
          </w:tcPr>
          <w:p w14:paraId="116E5869" w14:textId="39481B68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  <w:vAlign w:val="center"/>
          </w:tcPr>
          <w:p w14:paraId="5142788E" w14:textId="77777777" w:rsidR="00B00ACF" w:rsidRPr="00B00ACF" w:rsidRDefault="00B00ACF" w:rsidP="00B00AC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noWrap/>
          </w:tcPr>
          <w:p w14:paraId="7E17B334" w14:textId="3808CC82" w:rsidR="00B00ACF" w:rsidRPr="00B00ACF" w:rsidRDefault="00B00ACF" w:rsidP="00B00ACF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66,610     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6E42C700" w14:textId="184CB2DE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>6,100</w:t>
            </w:r>
          </w:p>
        </w:tc>
        <w:tc>
          <w:tcPr>
            <w:tcW w:w="1350" w:type="dxa"/>
            <w:shd w:val="clear" w:color="auto" w:fill="E2EFD9" w:themeFill="accent6" w:themeFillTint="33"/>
            <w:noWrap/>
          </w:tcPr>
          <w:p w14:paraId="12D9479C" w14:textId="74AE2DC6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6.0%           </w:t>
            </w:r>
          </w:p>
        </w:tc>
        <w:tc>
          <w:tcPr>
            <w:tcW w:w="1260" w:type="dxa"/>
            <w:shd w:val="clear" w:color="auto" w:fill="E2EFD9" w:themeFill="accent6" w:themeFillTint="33"/>
            <w:noWrap/>
          </w:tcPr>
          <w:p w14:paraId="349CE1D9" w14:textId="591EF938" w:rsidR="00B00ACF" w:rsidRPr="00B00ACF" w:rsidRDefault="00B00ACF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0ACF">
              <w:rPr>
                <w:sz w:val="20"/>
                <w:szCs w:val="20"/>
              </w:rPr>
              <w:t xml:space="preserve">$36,180  </w:t>
            </w:r>
          </w:p>
        </w:tc>
      </w:tr>
      <w:tr w:rsidR="00085688" w:rsidRPr="00BC42A7" w14:paraId="46B9016E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4B7BDECF" w14:textId="102BA859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1C5">
              <w:t>1.01</w:t>
            </w:r>
          </w:p>
        </w:tc>
        <w:tc>
          <w:tcPr>
            <w:tcW w:w="3510" w:type="dxa"/>
            <w:shd w:val="clear" w:color="auto" w:fill="auto"/>
            <w:noWrap/>
          </w:tcPr>
          <w:p w14:paraId="6A1F8E1A" w14:textId="75E615C7" w:rsidR="00085688" w:rsidRPr="004663FD" w:rsidRDefault="00085688" w:rsidP="00085688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861C5">
              <w:t>Food Products and Processing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579B72A8" w14:textId="72BA744F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018A7080" w14:textId="1E7C6785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</w:tcPr>
          <w:p w14:paraId="370A8D55" w14:textId="2A7341EC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000000" w:fill="F2F2F2"/>
            <w:noWrap/>
          </w:tcPr>
          <w:p w14:paraId="2ADCBD83" w14:textId="4D74854C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715F2267" w14:textId="2157097F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shd w:val="clear" w:color="auto" w:fill="auto"/>
            <w:noWrap/>
          </w:tcPr>
          <w:p w14:paraId="69B7C51F" w14:textId="4B8BB73A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350" w:type="dxa"/>
            <w:shd w:val="clear" w:color="auto" w:fill="auto"/>
            <w:noWrap/>
          </w:tcPr>
          <w:p w14:paraId="4A123245" w14:textId="4270A5F9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-6.7%</w:t>
            </w:r>
          </w:p>
        </w:tc>
        <w:tc>
          <w:tcPr>
            <w:tcW w:w="1260" w:type="dxa"/>
            <w:shd w:val="clear" w:color="auto" w:fill="auto"/>
            <w:noWrap/>
          </w:tcPr>
          <w:p w14:paraId="371F4C25" w14:textId="63E4B1CB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$53,560</w:t>
            </w:r>
          </w:p>
        </w:tc>
      </w:tr>
      <w:tr w:rsidR="00085688" w:rsidRPr="00BC42A7" w14:paraId="395FA0F9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4278B892" w14:textId="6BA347AE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1C5">
              <w:t>1.02</w:t>
            </w:r>
          </w:p>
        </w:tc>
        <w:tc>
          <w:tcPr>
            <w:tcW w:w="3510" w:type="dxa"/>
            <w:shd w:val="clear" w:color="auto" w:fill="auto"/>
            <w:noWrap/>
          </w:tcPr>
          <w:p w14:paraId="2C4D8A30" w14:textId="7201C742" w:rsidR="00085688" w:rsidRPr="004663FD" w:rsidRDefault="00085688" w:rsidP="00085688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861C5">
              <w:t>Plant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35BB226A" w14:textId="405EA6C8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</w:tcPr>
          <w:p w14:paraId="67240137" w14:textId="022C58AC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  <w:noWrap/>
          </w:tcPr>
          <w:p w14:paraId="6B4F8A79" w14:textId="19461013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</w:tcPr>
          <w:p w14:paraId="65802895" w14:textId="17725C2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00A1DA3D" w14:textId="4D42E0FC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50" w:type="dxa"/>
            <w:shd w:val="clear" w:color="auto" w:fill="auto"/>
            <w:noWrap/>
          </w:tcPr>
          <w:p w14:paraId="5C3DFE2C" w14:textId="040E5986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-103</w:t>
            </w:r>
          </w:p>
        </w:tc>
        <w:tc>
          <w:tcPr>
            <w:tcW w:w="1350" w:type="dxa"/>
            <w:shd w:val="clear" w:color="auto" w:fill="auto"/>
            <w:noWrap/>
          </w:tcPr>
          <w:p w14:paraId="514CB7AD" w14:textId="6CA6CEFB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-5.9%</w:t>
            </w:r>
          </w:p>
        </w:tc>
        <w:tc>
          <w:tcPr>
            <w:tcW w:w="1260" w:type="dxa"/>
            <w:shd w:val="clear" w:color="auto" w:fill="auto"/>
            <w:noWrap/>
          </w:tcPr>
          <w:p w14:paraId="072F370D" w14:textId="27E3EE46" w:rsidR="00085688" w:rsidRPr="004663FD" w:rsidRDefault="00BC4F57" w:rsidP="00BC4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$42,420</w:t>
            </w:r>
          </w:p>
        </w:tc>
      </w:tr>
      <w:tr w:rsidR="00085688" w:rsidRPr="00BC42A7" w14:paraId="73641B95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24AF5397" w14:textId="229E5FB4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1C5">
              <w:t>1.03</w:t>
            </w:r>
          </w:p>
        </w:tc>
        <w:tc>
          <w:tcPr>
            <w:tcW w:w="3510" w:type="dxa"/>
            <w:shd w:val="clear" w:color="auto" w:fill="auto"/>
            <w:noWrap/>
          </w:tcPr>
          <w:p w14:paraId="7526873E" w14:textId="30CA48AB" w:rsidR="00085688" w:rsidRPr="004663FD" w:rsidRDefault="00085688" w:rsidP="00085688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861C5">
              <w:t>Animal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621F48FC" w14:textId="0CC2D485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</w:tcPr>
          <w:p w14:paraId="653FE84D" w14:textId="570F9B3A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</w:tcPr>
          <w:p w14:paraId="5FBFBC5F" w14:textId="75A85D48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</w:tcPr>
          <w:p w14:paraId="59AA5FA7" w14:textId="598F9DDF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78246D05" w14:textId="097A7F73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50" w:type="dxa"/>
            <w:shd w:val="clear" w:color="auto" w:fill="auto"/>
            <w:noWrap/>
          </w:tcPr>
          <w:p w14:paraId="2877537A" w14:textId="7F6FCA50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</w:tcPr>
          <w:p w14:paraId="04CA3023" w14:textId="22543A8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260" w:type="dxa"/>
            <w:shd w:val="clear" w:color="auto" w:fill="auto"/>
            <w:noWrap/>
          </w:tcPr>
          <w:p w14:paraId="5BA566C3" w14:textId="13996145" w:rsidR="00085688" w:rsidRPr="004663FD" w:rsidRDefault="00BC4F57" w:rsidP="00BC4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$22,321</w:t>
            </w:r>
          </w:p>
        </w:tc>
      </w:tr>
      <w:tr w:rsidR="00085688" w:rsidRPr="00BC42A7" w14:paraId="1EFA76A8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580644F9" w14:textId="60167EAE" w:rsidR="00085688" w:rsidRDefault="00085688" w:rsidP="00085688">
            <w:pPr>
              <w:spacing w:after="0" w:line="276" w:lineRule="auto"/>
              <w:jc w:val="center"/>
            </w:pPr>
            <w:r w:rsidRPr="00C861C5">
              <w:t>1.05</w:t>
            </w:r>
          </w:p>
        </w:tc>
        <w:tc>
          <w:tcPr>
            <w:tcW w:w="3510" w:type="dxa"/>
            <w:shd w:val="clear" w:color="auto" w:fill="auto"/>
            <w:noWrap/>
          </w:tcPr>
          <w:p w14:paraId="0390E651" w14:textId="5A06BD64" w:rsidR="00085688" w:rsidRDefault="00085688" w:rsidP="00085688">
            <w:pPr>
              <w:spacing w:after="0" w:line="276" w:lineRule="auto"/>
            </w:pPr>
            <w:r w:rsidRPr="00C861C5">
              <w:t>Natural Resources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68E06D71" w14:textId="66CB053C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04D374DA" w14:textId="0616FDFE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  <w:noWrap/>
          </w:tcPr>
          <w:p w14:paraId="3F3678C8" w14:textId="6C1014F4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000000" w:fill="F2F2F2"/>
            <w:noWrap/>
          </w:tcPr>
          <w:p w14:paraId="27C4633B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341F885B" w14:textId="3B3F8E1D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</w:tcPr>
          <w:p w14:paraId="38BECE32" w14:textId="4226546D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350" w:type="dxa"/>
            <w:shd w:val="clear" w:color="auto" w:fill="auto"/>
            <w:noWrap/>
          </w:tcPr>
          <w:p w14:paraId="0AF9246A" w14:textId="27D6560F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-2.0%</w:t>
            </w:r>
          </w:p>
        </w:tc>
        <w:tc>
          <w:tcPr>
            <w:tcW w:w="1260" w:type="dxa"/>
            <w:shd w:val="clear" w:color="auto" w:fill="auto"/>
            <w:noWrap/>
          </w:tcPr>
          <w:p w14:paraId="12F6BE98" w14:textId="4950D83D" w:rsidR="00085688" w:rsidRPr="004663FD" w:rsidRDefault="00BC4F57" w:rsidP="00BC4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$186,324</w:t>
            </w:r>
          </w:p>
        </w:tc>
      </w:tr>
      <w:tr w:rsidR="00085688" w:rsidRPr="00BC42A7" w14:paraId="23584A32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06754215" w14:textId="4CFFF68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t>1.06</w:t>
            </w:r>
          </w:p>
        </w:tc>
        <w:tc>
          <w:tcPr>
            <w:tcW w:w="3510" w:type="dxa"/>
            <w:shd w:val="clear" w:color="auto" w:fill="auto"/>
            <w:noWrap/>
          </w:tcPr>
          <w:p w14:paraId="5B74CB16" w14:textId="12A189E3" w:rsidR="00085688" w:rsidRPr="004663FD" w:rsidRDefault="00085688" w:rsidP="00085688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t>Environmental Service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2A9FF252" w14:textId="59C47653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551FF9C5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</w:tcPr>
          <w:p w14:paraId="46BDED6E" w14:textId="0652F7CB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000000" w:fill="F2F2F2"/>
            <w:noWrap/>
          </w:tcPr>
          <w:p w14:paraId="7F4A8041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68274202" w14:textId="45911AE3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350" w:type="dxa"/>
            <w:shd w:val="clear" w:color="auto" w:fill="auto"/>
            <w:noWrap/>
          </w:tcPr>
          <w:p w14:paraId="451C456E" w14:textId="5C2809DC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50" w:type="dxa"/>
            <w:shd w:val="clear" w:color="auto" w:fill="auto"/>
            <w:noWrap/>
          </w:tcPr>
          <w:p w14:paraId="68A06CB8" w14:textId="45E21BE8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260" w:type="dxa"/>
            <w:shd w:val="clear" w:color="auto" w:fill="auto"/>
            <w:noWrap/>
          </w:tcPr>
          <w:p w14:paraId="6D77ADED" w14:textId="127F2D48" w:rsidR="00085688" w:rsidRPr="004663FD" w:rsidRDefault="00BC4F57" w:rsidP="00BC4F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$46,578</w:t>
            </w:r>
          </w:p>
        </w:tc>
      </w:tr>
      <w:tr w:rsidR="00085688" w:rsidRPr="00BC42A7" w14:paraId="4791F4A6" w14:textId="77777777" w:rsidTr="00694391">
        <w:trPr>
          <w:trHeight w:val="336"/>
          <w:jc w:val="center"/>
        </w:trPr>
        <w:tc>
          <w:tcPr>
            <w:tcW w:w="1368" w:type="dxa"/>
            <w:gridSpan w:val="2"/>
            <w:shd w:val="clear" w:color="auto" w:fill="auto"/>
            <w:noWrap/>
          </w:tcPr>
          <w:p w14:paraId="0F50B3A3" w14:textId="20A0880E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861C5">
              <w:t>1.07</w:t>
            </w:r>
          </w:p>
        </w:tc>
        <w:tc>
          <w:tcPr>
            <w:tcW w:w="3510" w:type="dxa"/>
            <w:shd w:val="clear" w:color="auto" w:fill="auto"/>
            <w:noWrap/>
          </w:tcPr>
          <w:p w14:paraId="26081F9A" w14:textId="4990322A" w:rsidR="00085688" w:rsidRPr="004663FD" w:rsidRDefault="00085688" w:rsidP="00085688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861C5">
              <w:t>Agribusiness Systems</w:t>
            </w:r>
          </w:p>
        </w:tc>
        <w:tc>
          <w:tcPr>
            <w:tcW w:w="924" w:type="dxa"/>
            <w:shd w:val="clear" w:color="000000" w:fill="F2F2F2"/>
            <w:noWrap/>
          </w:tcPr>
          <w:p w14:paraId="20B110F1" w14:textId="42A7BCE8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shd w:val="clear" w:color="000000" w:fill="F2F2F2"/>
          </w:tcPr>
          <w:p w14:paraId="43E3B7A8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000000" w:fill="F2F2F2"/>
            <w:noWrap/>
          </w:tcPr>
          <w:p w14:paraId="12097429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000000" w:fill="F2F2F2"/>
            <w:noWrap/>
          </w:tcPr>
          <w:p w14:paraId="0FBA115A" w14:textId="7777777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</w:tcPr>
          <w:p w14:paraId="703875F8" w14:textId="77777777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4112A7DA" w14:textId="1135CD67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50" w:type="dxa"/>
            <w:shd w:val="clear" w:color="auto" w:fill="auto"/>
            <w:noWrap/>
          </w:tcPr>
          <w:p w14:paraId="03BE1A4F" w14:textId="1C6B6243" w:rsidR="00085688" w:rsidRPr="004663FD" w:rsidRDefault="00085688" w:rsidP="000856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-.02%</w:t>
            </w:r>
          </w:p>
        </w:tc>
        <w:tc>
          <w:tcPr>
            <w:tcW w:w="1260" w:type="dxa"/>
            <w:shd w:val="clear" w:color="auto" w:fill="auto"/>
            <w:noWrap/>
          </w:tcPr>
          <w:p w14:paraId="2F040072" w14:textId="77777777" w:rsidR="00085688" w:rsidRPr="004663FD" w:rsidRDefault="00085688" w:rsidP="00085688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D501A54" w14:textId="249401C0"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758F1A22" w14:textId="5533536C"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0D24F83" w14:textId="5A21E3F3"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1F410ED0" w14:textId="77777777" w:rsidR="00B126A7" w:rsidRDefault="00B126A7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5CCE9A22" w14:textId="110C03C5" w:rsidR="00BC4F57" w:rsidRDefault="00BC4F57" w:rsidP="00BC4F57">
      <w:pPr>
        <w:pStyle w:val="ListParagraph"/>
        <w:spacing w:after="0" w:line="276" w:lineRule="auto"/>
        <w:ind w:left="45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The Agriculture, Food, and Natural Resources Career Clusters rank in the top six (6) for average wage</w:t>
      </w:r>
      <w:r w:rsidR="000F233F"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b/>
          <w:color w:val="000000"/>
        </w:rPr>
        <w:t xml:space="preserve"> The career cluster rating is Middle Skill.  </w:t>
      </w:r>
    </w:p>
    <w:p w14:paraId="034D7F4E" w14:textId="77777777" w:rsidR="0028603C" w:rsidRDefault="0028603C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6E3794CA" w14:textId="77777777"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1DE1FA36" w14:textId="1F89B1C9"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lastRenderedPageBreak/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14:paraId="65540C35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B137FFD" w14:textId="71DAC591" w:rsidR="00BC4F57" w:rsidRPr="000B0E80" w:rsidRDefault="00BC4F57" w:rsidP="00BC4F57">
      <w:pPr>
        <w:spacing w:after="0" w:line="276" w:lineRule="auto"/>
        <w:ind w:left="360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</w:rPr>
        <w:t>E</w:t>
      </w:r>
      <w:r w:rsidRPr="000B0E80">
        <w:rPr>
          <w:rFonts w:eastAsia="Times New Roman" w:cs="Times New Roman"/>
          <w:b/>
          <w:color w:val="000000"/>
        </w:rPr>
        <w:t xml:space="preserve">mployment growth rate </w:t>
      </w:r>
      <w:r>
        <w:rPr>
          <w:rFonts w:eastAsia="Times New Roman" w:cs="Times New Roman"/>
          <w:b/>
          <w:color w:val="000000"/>
        </w:rPr>
        <w:t>is significantly</w:t>
      </w:r>
      <w:r w:rsidRPr="000B0E80">
        <w:rPr>
          <w:rFonts w:eastAsia="Times New Roman" w:cs="Times New Roman"/>
          <w:b/>
          <w:color w:val="000000"/>
        </w:rPr>
        <w:t xml:space="preserve"> higher at the career pathway level than at the cluster level, while the employment </w:t>
      </w:r>
      <w:r>
        <w:rPr>
          <w:rFonts w:eastAsia="Times New Roman" w:cs="Times New Roman"/>
          <w:b/>
          <w:color w:val="000000"/>
        </w:rPr>
        <w:t>and average wage</w:t>
      </w:r>
      <w:r w:rsidRPr="000B0E80">
        <w:rPr>
          <w:rFonts w:eastAsia="Times New Roman" w:cs="Times New Roman"/>
          <w:b/>
          <w:color w:val="000000"/>
        </w:rPr>
        <w:t xml:space="preserve"> are lower.  </w:t>
      </w:r>
      <w:r>
        <w:rPr>
          <w:rFonts w:eastAsia="Times New Roman" w:cs="Times New Roman"/>
          <w:b/>
          <w:color w:val="000000"/>
        </w:rPr>
        <w:t xml:space="preserve">Salaries, employment growth, and change in employment increase as you move out of the state of Delaware and into the Mid-Atlantic and larger United States region.  Related pathways have lower wage potential, but show slightly higher employment, employment change and employment growth numbers within the state of Delaware.  </w:t>
      </w:r>
    </w:p>
    <w:p w14:paraId="64652CA3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F0120E2" w14:textId="77777777" w:rsidR="00B126A7" w:rsidRDefault="00B126A7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13974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24"/>
        <w:gridCol w:w="924"/>
        <w:gridCol w:w="924"/>
        <w:gridCol w:w="1032"/>
        <w:gridCol w:w="1332"/>
        <w:gridCol w:w="1350"/>
        <w:gridCol w:w="1350"/>
        <w:gridCol w:w="1260"/>
      </w:tblGrid>
      <w:tr w:rsidR="00E1615C" w:rsidRPr="00BC42A7" w14:paraId="74088D6A" w14:textId="77777777" w:rsidTr="00184266">
        <w:trPr>
          <w:trHeight w:val="372"/>
        </w:trPr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81D656F" w14:textId="14A52B7B" w:rsidR="00E1615C" w:rsidRPr="00F81FCE" w:rsidRDefault="00E1615C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E1615C" w:rsidRPr="003C4295" w:rsidRDefault="00E1615C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77777777" w:rsidR="00E1615C" w:rsidRPr="00BC42A7" w:rsidRDefault="00E1615C" w:rsidP="00DB2F54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184266" w:rsidRPr="00BC42A7" w14:paraId="79D90B40" w14:textId="77777777" w:rsidTr="00184266">
        <w:trPr>
          <w:trHeight w:val="65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B75661A" w14:textId="21733A7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Skill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50C7C8F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1E3214D2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D578E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2F44A23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4ED4940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1BFAF0D6" w:rsidR="00184266" w:rsidRPr="00162DCA" w:rsidRDefault="00184266" w:rsidP="00D578E9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D578E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00ACF" w:rsidRPr="00BC42A7" w14:paraId="73640C80" w14:textId="77777777" w:rsidTr="002647E2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1905" w14:textId="0BCD6FE6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6A1">
              <w:t>17-2021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B19255" w14:textId="634A76B0" w:rsidR="00B00ACF" w:rsidRPr="00E05F3A" w:rsidRDefault="00B00ACF" w:rsidP="00B00A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6A1">
              <w:t>Agricultural Engineers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F1F7C6E" w14:textId="327E8BBB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E47A597" w14:textId="0437D0A7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DA85C1C" w14:textId="799D783D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1EE2783D" w14:textId="4EC1A809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B7C5F" w14:textId="2BDA592E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F3BE7" w14:textId="7A04DB04" w:rsidR="00B00ACF" w:rsidRPr="00E05F3A" w:rsidRDefault="00B00ACF" w:rsidP="00B00ACF">
            <w:pPr>
              <w:spacing w:after="0" w:line="276" w:lineRule="auto"/>
              <w:ind w:leftChars="-40" w:left="46" w:hangingChars="67" w:hanging="13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B9DC44" w14:textId="1E42CC56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3440441" w14:textId="0A6D9509" w:rsidR="00B00ACF" w:rsidRPr="00E05F3A" w:rsidRDefault="00B00ACF" w:rsidP="00B00A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$73,640</w:t>
            </w:r>
          </w:p>
        </w:tc>
      </w:tr>
      <w:tr w:rsidR="002647E2" w:rsidRPr="00BC42A7" w14:paraId="6E8C425A" w14:textId="77777777" w:rsidTr="002647E2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B998" w14:textId="05C61409" w:rsidR="002647E2" w:rsidRPr="001829DB" w:rsidRDefault="002647E2" w:rsidP="002647E2">
            <w:pPr>
              <w:spacing w:after="0" w:line="276" w:lineRule="auto"/>
              <w:jc w:val="center"/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49-3041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AD1" w14:textId="1AFB56E4" w:rsidR="002647E2" w:rsidRPr="001829DB" w:rsidRDefault="002647E2" w:rsidP="002647E2">
            <w:pPr>
              <w:spacing w:after="0" w:line="276" w:lineRule="auto"/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Farm Equipment Mechanics and Service Technicians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F6FA285" w14:textId="3C5A9572" w:rsidR="002647E2" w:rsidRDefault="00103848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8BAA60E" w14:textId="77777777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B81237A" w14:textId="4683FC2A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243AE899" w14:textId="2738BBA9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F9F101" w14:textId="69AF76A9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F686A" w14:textId="4C5F5E0E" w:rsidR="002647E2" w:rsidRDefault="002647E2" w:rsidP="002647E2">
            <w:pPr>
              <w:spacing w:after="0" w:line="276" w:lineRule="auto"/>
              <w:ind w:leftChars="-40" w:left="46" w:hangingChars="67" w:hanging="13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757511" w14:textId="56B80205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C18CD64" w14:textId="5134906B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$35,130</w:t>
            </w:r>
          </w:p>
        </w:tc>
      </w:tr>
      <w:tr w:rsidR="002647E2" w:rsidRPr="00BC42A7" w14:paraId="0539F781" w14:textId="77777777" w:rsidTr="002647E2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07100" w14:textId="3DAFEFBC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57E96">
              <w:t>49-3023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3BF96C" w14:textId="218CCEA6" w:rsidR="002647E2" w:rsidRPr="00E05F3A" w:rsidRDefault="002647E2" w:rsidP="002647E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57E96">
              <w:t>Automotive Service Technicians and Mechanics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F62D8EC" w14:textId="20AFF84B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DC77B4" w14:textId="40A690CC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AE91B90" w14:textId="41069A0B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D36816" w14:textId="7A147151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CE8BC" w14:textId="5840BC00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895ED9" w14:textId="5E634207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698C" w14:textId="47E40E52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BC5FAF9" w14:textId="5D05C26E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$38,580</w:t>
            </w:r>
          </w:p>
        </w:tc>
      </w:tr>
      <w:tr w:rsidR="002647E2" w:rsidRPr="00BC42A7" w14:paraId="1D495F11" w14:textId="77777777" w:rsidTr="00877F6C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C222" w14:textId="19E91C65" w:rsidR="002647E2" w:rsidRPr="00046A68" w:rsidRDefault="002647E2" w:rsidP="002647E2">
            <w:pPr>
              <w:spacing w:after="0" w:line="276" w:lineRule="auto"/>
              <w:jc w:val="center"/>
            </w:pPr>
            <w:r w:rsidRPr="009E236D">
              <w:t>49-3031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BD376FA" w14:textId="1EF30A09" w:rsidR="002647E2" w:rsidRPr="00046A68" w:rsidRDefault="002647E2" w:rsidP="002647E2">
            <w:pPr>
              <w:spacing w:after="0" w:line="276" w:lineRule="auto"/>
            </w:pPr>
            <w:r w:rsidRPr="009E236D">
              <w:t>Bus and Truck Mechanics and Diesel Engine Specialists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A8852D9" w14:textId="64FEAFC0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ADF3CC0" w14:textId="1B19CFC8" w:rsidR="002647E2" w:rsidRPr="00E05F3A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12A7D92" w14:textId="449128E5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1620327E" w14:textId="387FEDE8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3DC730" w14:textId="607DC7C1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0F7E37" w14:textId="21EF3AC2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69CE8A" w14:textId="75B06D33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0252D58" w14:textId="60478A71" w:rsidR="002647E2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$47,980</w:t>
            </w:r>
          </w:p>
        </w:tc>
      </w:tr>
      <w:tr w:rsidR="002647E2" w:rsidRPr="00BC42A7" w14:paraId="4235FB63" w14:textId="77777777" w:rsidTr="004B0D3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A558" w14:textId="144C58F1" w:rsidR="002647E2" w:rsidRPr="00955926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7F81">
              <w:t>49-9012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B5D5CC" w14:textId="4FFCC1E8" w:rsidR="002647E2" w:rsidRPr="00955926" w:rsidRDefault="002647E2" w:rsidP="002647E2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A7F81">
              <w:t>Control and Valve Installers and Repairers, Except Mechanical Door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4136F10" w14:textId="5D8C0304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0D7A8C1" w14:textId="55EA318B" w:rsidR="002647E2" w:rsidRPr="00955926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C71F66B" w14:textId="0379D01F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07158D" w14:textId="42E7BCC5" w:rsidR="002647E2" w:rsidRPr="00955926" w:rsidRDefault="002647E2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D2A248" w14:textId="4A1C38C0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878C0" w14:textId="36F53222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2D3A5D" w14:textId="6C1AC03B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424C8BD" w14:textId="2265DC84" w:rsidR="002647E2" w:rsidRPr="00955926" w:rsidRDefault="008D47EF" w:rsidP="002647E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$72,730</w:t>
            </w:r>
          </w:p>
        </w:tc>
      </w:tr>
      <w:tr w:rsidR="008D47EF" w:rsidRPr="00BC42A7" w14:paraId="24E2DCB1" w14:textId="77777777" w:rsidTr="005A46B0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BDF8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4BD0">
              <w:t>49-9099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6B29F00" w14:textId="77777777" w:rsidR="008D47EF" w:rsidRPr="00E05F3A" w:rsidRDefault="008D47EF" w:rsidP="005A46B0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BD0">
              <w:t>Installation, Maintenance, and Repair Workers, All Other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D8A768D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3F2D7DD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6500E8E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384B2C30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AF5AB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DF7EDB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127A51" w14:textId="1DFD144B" w:rsidR="008D47EF" w:rsidRPr="00E05F3A" w:rsidRDefault="007C0477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2EB387C" w14:textId="77777777" w:rsidR="008D47EF" w:rsidRPr="00E05F3A" w:rsidRDefault="008D47EF" w:rsidP="005A46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$37,530</w:t>
            </w:r>
          </w:p>
        </w:tc>
      </w:tr>
      <w:tr w:rsidR="00EE2037" w:rsidRPr="00BC42A7" w14:paraId="5CB95D70" w14:textId="77777777" w:rsidTr="00D17963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E490" w14:textId="77777777" w:rsidR="00EE2037" w:rsidRPr="00C20AC8" w:rsidRDefault="00EE2037" w:rsidP="00D17963">
            <w:pPr>
              <w:spacing w:after="0" w:line="276" w:lineRule="auto"/>
              <w:jc w:val="center"/>
            </w:pPr>
            <w:r w:rsidRPr="00631909">
              <w:t>49-2093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AA3B56" w14:textId="77777777" w:rsidR="00EE2037" w:rsidRPr="00C20AC8" w:rsidRDefault="00EE2037" w:rsidP="00D17963">
            <w:pPr>
              <w:spacing w:after="0" w:line="276" w:lineRule="auto"/>
            </w:pPr>
            <w:r w:rsidRPr="00631909">
              <w:t>Electrical and Electronics Installers and Repairers, Transportation Equipment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4B30F9C" w14:textId="77777777" w:rsidR="00EE2037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46AA471" w14:textId="77777777" w:rsidR="00EE2037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A337BE9" w14:textId="77777777" w:rsidR="00EE2037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64257308" w14:textId="77777777" w:rsidR="00EE2037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AEE80" w14:textId="77777777" w:rsidR="00EE2037" w:rsidRPr="00E05F3A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C49E4" w14:textId="77777777" w:rsidR="00EE2037" w:rsidRPr="00E05F3A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8B7BCD" w14:textId="77777777" w:rsidR="00EE2037" w:rsidRPr="00E05F3A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A196EB9" w14:textId="77777777" w:rsidR="00EE2037" w:rsidRPr="00E05F3A" w:rsidRDefault="00EE2037" w:rsidP="00D1796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$40,700</w:t>
            </w:r>
          </w:p>
        </w:tc>
      </w:tr>
      <w:tr w:rsidR="00EE2037" w:rsidRPr="00BC42A7" w14:paraId="332E22B7" w14:textId="77777777" w:rsidTr="004B0D3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D215" w14:textId="28E2FE8A" w:rsidR="00EE2037" w:rsidRPr="00BA7F81" w:rsidRDefault="00EE2037" w:rsidP="00EE2037">
            <w:pPr>
              <w:spacing w:after="0" w:line="276" w:lineRule="auto"/>
              <w:jc w:val="center"/>
            </w:pPr>
            <w:r w:rsidRPr="00954EB5">
              <w:t>49-1011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D7681D" w14:textId="274BCDE6" w:rsidR="00EE2037" w:rsidRPr="00BA7F81" w:rsidRDefault="00EE2037" w:rsidP="00EE2037">
            <w:pPr>
              <w:spacing w:after="0" w:line="276" w:lineRule="auto"/>
            </w:pPr>
            <w:r w:rsidRPr="00954EB5">
              <w:t>First-Line Supervisors of Mechanics, Installers, and Repairers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6C1FD5F" w14:textId="52BE3191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B220160" w14:textId="77777777" w:rsidR="00EE2037" w:rsidRPr="00955926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29B8DE1" w14:textId="65807239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449EA796" w14:textId="0BAAD9CA" w:rsidR="00EE2037" w:rsidRPr="00955926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FFDD6" w14:textId="3471CF22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09B423" w14:textId="0D242066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5081CD" w14:textId="3DFBA2C0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E905C34" w14:textId="799F7457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$71,680</w:t>
            </w:r>
          </w:p>
        </w:tc>
      </w:tr>
      <w:tr w:rsidR="007C0477" w:rsidRPr="00BC42A7" w14:paraId="527568A7" w14:textId="77777777" w:rsidTr="004B0D3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03F9" w14:textId="0BD8A31A" w:rsidR="007C0477" w:rsidRPr="00954EB5" w:rsidRDefault="007C0477" w:rsidP="007C0477">
            <w:pPr>
              <w:spacing w:after="0" w:line="276" w:lineRule="auto"/>
              <w:jc w:val="center"/>
            </w:pPr>
            <w:r w:rsidRPr="00FE2BFC">
              <w:t>49-3042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9C0DE5" w14:textId="10F5C18A" w:rsidR="007C0477" w:rsidRPr="00954EB5" w:rsidRDefault="007C0477" w:rsidP="007C0477">
            <w:pPr>
              <w:spacing w:after="0" w:line="276" w:lineRule="auto"/>
            </w:pPr>
            <w:r w:rsidRPr="00FE2BFC">
              <w:t>Mobile Heavy Equipment Mechanics, Except Engines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2CDEAFF" w14:textId="3A663519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0BD2C8D" w14:textId="77777777" w:rsidR="007C0477" w:rsidRPr="00955926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462F6FD" w14:textId="672AFF99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3AA129D" w14:textId="77777777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98EE8C" w14:textId="3DC22163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043EB7" w14:textId="65AC7F21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E69B65" w14:textId="660FF1F9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EE42BE9" w14:textId="0C8DEF17" w:rsidR="007C0477" w:rsidRDefault="007C0477" w:rsidP="007C047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$48,130</w:t>
            </w:r>
          </w:p>
        </w:tc>
      </w:tr>
      <w:tr w:rsidR="00EE2037" w:rsidRPr="00BC42A7" w14:paraId="6EFB5387" w14:textId="77777777" w:rsidTr="00EF40FB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2240" w14:textId="77777777" w:rsidR="00EE2037" w:rsidRPr="00692519" w:rsidRDefault="00EE2037" w:rsidP="00EE2037">
            <w:pPr>
              <w:spacing w:after="0" w:line="276" w:lineRule="auto"/>
              <w:jc w:val="center"/>
            </w:pPr>
            <w:r w:rsidRPr="00C20AC8">
              <w:t>47-2073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8FD86D" w14:textId="77777777" w:rsidR="00EE2037" w:rsidRPr="00692519" w:rsidRDefault="00EE2037" w:rsidP="00EE2037">
            <w:pPr>
              <w:spacing w:after="0" w:line="276" w:lineRule="auto"/>
            </w:pPr>
            <w:r w:rsidRPr="00C20AC8">
              <w:t>Operating Engineers and Other Construction Equipment Operators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A6EAC03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2C99D78" w14:textId="77777777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BAAEF25" w14:textId="77777777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07A51D29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5C62A4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128FC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CE2B9B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56BADE7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$37,800</w:t>
            </w:r>
          </w:p>
        </w:tc>
      </w:tr>
      <w:tr w:rsidR="00EE2037" w:rsidRPr="00BC42A7" w14:paraId="42790DEB" w14:textId="77777777" w:rsidTr="009F2E3E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6586" w14:textId="4AAB3245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D5553">
              <w:t>47-2111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F1A584" w14:textId="24B46CAA" w:rsidR="00EE2037" w:rsidRPr="0003491E" w:rsidRDefault="00EE2037" w:rsidP="00EE2037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AD5553">
              <w:t>Electricians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3E2386F" w14:textId="16574E52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6778A5" w14:textId="6929CBA9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18C148F" w14:textId="0485E62B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5FD516B" w14:textId="09A0F928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95ACE" w14:textId="4A8CB490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8D431D" w14:textId="060C2EE5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484CD" w14:textId="13E8BD4F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277A171" w14:textId="718190CE" w:rsidR="00EE2037" w:rsidRPr="0003491E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$54,430</w:t>
            </w:r>
          </w:p>
        </w:tc>
      </w:tr>
      <w:tr w:rsidR="00EE2037" w:rsidRPr="00BC42A7" w14:paraId="3FA5969C" w14:textId="77777777" w:rsidTr="00242F3F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C173" w14:textId="72A62C3A" w:rsidR="00EE2037" w:rsidRPr="00634A9A" w:rsidRDefault="00EE2037" w:rsidP="00EE2037">
            <w:pPr>
              <w:spacing w:after="0" w:line="276" w:lineRule="auto"/>
              <w:jc w:val="center"/>
            </w:pPr>
            <w:r w:rsidRPr="0084025E">
              <w:t>51-4041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A127FA" w14:textId="6BFBA900" w:rsidR="00EE2037" w:rsidRPr="00634A9A" w:rsidRDefault="00EE2037" w:rsidP="00EE2037">
            <w:pPr>
              <w:spacing w:after="0" w:line="276" w:lineRule="auto"/>
            </w:pPr>
            <w:r w:rsidRPr="0084025E">
              <w:t>Machinists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9877B6F" w14:textId="062F4AAE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D973474" w14:textId="77777777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CC42BE4" w14:textId="21FB62CE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6CD4BD71" w14:textId="04FABB98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47C4E" w14:textId="3636D2A1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197AC" w14:textId="4B1C0C2A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B48B6E" w14:textId="5FE08F9F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F55F505" w14:textId="2F49F732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$54,020</w:t>
            </w:r>
          </w:p>
        </w:tc>
      </w:tr>
      <w:tr w:rsidR="00EE2037" w:rsidRPr="00BC42A7" w14:paraId="49F4A49B" w14:textId="77777777" w:rsidTr="00DB4C81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684D" w14:textId="0F818FCD" w:rsidR="00EE2037" w:rsidRPr="00E369FA" w:rsidRDefault="00EE2037" w:rsidP="00EE2037">
            <w:pPr>
              <w:spacing w:after="0" w:line="276" w:lineRule="auto"/>
              <w:jc w:val="center"/>
            </w:pPr>
            <w:r w:rsidRPr="00CE61FA">
              <w:t>51-4121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161BED" w14:textId="78766DEF" w:rsidR="00EE2037" w:rsidRPr="00E369FA" w:rsidRDefault="00EE2037" w:rsidP="00EE2037">
            <w:pPr>
              <w:spacing w:after="0" w:line="276" w:lineRule="auto"/>
            </w:pPr>
            <w:r w:rsidRPr="00CE61FA">
              <w:t xml:space="preserve">Welders, Cutters, </w:t>
            </w:r>
            <w:proofErr w:type="spellStart"/>
            <w:r w:rsidRPr="00CE61FA">
              <w:t>Solderers</w:t>
            </w:r>
            <w:proofErr w:type="spellEnd"/>
            <w:r w:rsidRPr="00CE61FA">
              <w:t xml:space="preserve">, and </w:t>
            </w:r>
            <w:proofErr w:type="spellStart"/>
            <w:r w:rsidRPr="00CE61FA">
              <w:t>Brazers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B3A37A6" w14:textId="01A05525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375D25F" w14:textId="77777777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A142BC0" w14:textId="4C6778E4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2DF4927" w14:textId="77777777" w:rsidR="00EE2037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06464B" w14:textId="615F240A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C37F05" w14:textId="6D5DF4AB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EC9923" w14:textId="41551166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BBC802" w14:textId="359906D0" w:rsidR="00EE2037" w:rsidRPr="00E05F3A" w:rsidRDefault="00EE2037" w:rsidP="00EE203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$49,130</w:t>
            </w:r>
          </w:p>
        </w:tc>
      </w:tr>
    </w:tbl>
    <w:p w14:paraId="52000041" w14:textId="77777777" w:rsidR="004075CF" w:rsidRPr="00BC42A7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383D6BA7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lastRenderedPageBreak/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611EB546" w14:textId="77777777" w:rsidR="0028603C" w:rsidRDefault="0028603C" w:rsidP="00DA1BD2">
      <w:pPr>
        <w:spacing w:after="0" w:line="276" w:lineRule="auto"/>
        <w:rPr>
          <w:rFonts w:eastAsia="Times New Roman" w:cs="Times New Roman"/>
          <w:color w:val="000000"/>
        </w:rPr>
      </w:pPr>
    </w:p>
    <w:p w14:paraId="40072134" w14:textId="317B2251" w:rsidR="00DA1BD2" w:rsidRPr="00716F2F" w:rsidRDefault="00DA1BD2" w:rsidP="00DA1BD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716F2F">
        <w:rPr>
          <w:rFonts w:eastAsia="Times New Roman" w:cs="Times New Roman"/>
          <w:b/>
          <w:color w:val="000000"/>
        </w:rPr>
        <w:t xml:space="preserve">The </w:t>
      </w:r>
      <w:r>
        <w:rPr>
          <w:rFonts w:eastAsia="Times New Roman" w:cs="Times New Roman"/>
          <w:b/>
          <w:color w:val="000000"/>
        </w:rPr>
        <w:t xml:space="preserve">Agricultural </w:t>
      </w:r>
      <w:r w:rsidR="000F233F">
        <w:rPr>
          <w:rFonts w:eastAsia="Times New Roman" w:cs="Times New Roman"/>
          <w:b/>
          <w:color w:val="000000"/>
        </w:rPr>
        <w:t>Power</w:t>
      </w:r>
      <w:r>
        <w:rPr>
          <w:rFonts w:eastAsia="Times New Roman" w:cs="Times New Roman"/>
          <w:b/>
          <w:color w:val="000000"/>
        </w:rPr>
        <w:t xml:space="preserve"> and Engineering</w:t>
      </w:r>
      <w:r w:rsidRPr="00716F2F">
        <w:rPr>
          <w:rFonts w:eastAsia="Times New Roman" w:cs="Times New Roman"/>
          <w:b/>
          <w:color w:val="000000"/>
        </w:rPr>
        <w:t xml:space="preserve"> Program of Study focuses on </w:t>
      </w:r>
      <w:r w:rsidRPr="00DA1BD2">
        <w:rPr>
          <w:b/>
        </w:rPr>
        <w:t>scientific principles and methods required to understand the interrelationships of construction.</w:t>
      </w:r>
      <w:r w:rsidRPr="00DA1BD2">
        <w:rPr>
          <w:rFonts w:eastAsia="Times New Roman" w:cs="Times New Roman"/>
          <w:b/>
          <w:color w:val="000000"/>
        </w:rPr>
        <w:t xml:space="preserve">  The SOCs listed in table 4 are directly related to the program of study.  </w:t>
      </w: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5EEFB0A5" w14:textId="77777777" w:rsidR="00DA1BD2" w:rsidRDefault="00DA1BD2" w:rsidP="00DA1BD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p w14:paraId="642F70D2" w14:textId="527FC2B9" w:rsidR="00DA1BD2" w:rsidRDefault="00DA1BD2" w:rsidP="00DA1BD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The number of job openings projected for the cluster and pathway as well as the related SOCs will support an agricultural </w:t>
      </w:r>
      <w:r w:rsidR="00EE2037">
        <w:rPr>
          <w:rFonts w:eastAsia="Times New Roman" w:cs="Times New Roman"/>
          <w:b/>
          <w:color w:val="000000"/>
        </w:rPr>
        <w:t>power</w:t>
      </w:r>
      <w:r>
        <w:rPr>
          <w:rFonts w:eastAsia="Times New Roman" w:cs="Times New Roman"/>
          <w:b/>
          <w:color w:val="000000"/>
        </w:rPr>
        <w:t xml:space="preserve"> and engineering program of study.  All related SOCs and the cluster and pathway are rated as either middle skill, high skill, high wage, or high demand jobs. </w:t>
      </w:r>
    </w:p>
    <w:p w14:paraId="4153D623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84AC35F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036AE3B" w14:textId="77777777" w:rsidR="0028603C" w:rsidRDefault="0028603C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3582"/>
        <w:gridCol w:w="1174"/>
        <w:gridCol w:w="1175"/>
        <w:gridCol w:w="1174"/>
        <w:gridCol w:w="1175"/>
      </w:tblGrid>
      <w:tr w:rsidR="009F3086" w:rsidRPr="00BC42A7" w14:paraId="2B6353D3" w14:textId="77777777" w:rsidTr="009F3086">
        <w:trPr>
          <w:trHeight w:val="324"/>
        </w:trPr>
        <w:tc>
          <w:tcPr>
            <w:tcW w:w="8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77777777" w:rsidR="00D374D6" w:rsidRPr="00F81FCE" w:rsidRDefault="00D374D6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5: LMI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4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9F3086" w:rsidRPr="00BC42A7" w14:paraId="2B36E803" w14:textId="77777777" w:rsidTr="00201766">
        <w:trPr>
          <w:trHeight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9F3086" w:rsidRPr="00201766" w:rsidRDefault="009F3086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5735E"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F0D" w14:textId="630A0649" w:rsidR="009F3086" w:rsidRPr="00201766" w:rsidRDefault="00E71CAD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4F4" w14:textId="4D39E056" w:rsidR="009F3086" w:rsidRPr="00201766" w:rsidRDefault="00E71CAD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FAC" w14:textId="08C1CDE3" w:rsidR="009F3086" w:rsidRPr="00201766" w:rsidRDefault="00E71CAD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3C3DB758" w:rsidR="009F3086" w:rsidRPr="00201766" w:rsidRDefault="00E7231E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E71CA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4-15</w:t>
            </w:r>
          </w:p>
        </w:tc>
      </w:tr>
      <w:tr w:rsidR="00201766" w:rsidRPr="00BC42A7" w14:paraId="7669C95F" w14:textId="77777777" w:rsidTr="00201766">
        <w:trPr>
          <w:trHeight w:val="288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143286F" w14:textId="0D56C6DC" w:rsidR="00201766" w:rsidRPr="00201766" w:rsidRDefault="00201766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872D6C1" w14:textId="76392C6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A59F4D" w14:textId="10BB22F8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4DD2A1D" w14:textId="3B7EF649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3A5458C" w14:textId="1B0575A5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01766" w:rsidRPr="00BC42A7" w14:paraId="4F85D24A" w14:textId="77777777" w:rsidTr="00201766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F4695" w14:textId="08D6E1DB" w:rsidR="00201766" w:rsidRPr="00201766" w:rsidRDefault="009B260E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B2C0" w14:textId="2EFF8DE0" w:rsidR="00201766" w:rsidRPr="00201766" w:rsidRDefault="009B260E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Power and Mechanical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2374" w14:textId="4ECB8E42" w:rsidR="00201766" w:rsidRPr="00201766" w:rsidRDefault="009B260E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Christiana High School/Christina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D95A" w14:textId="289A5E63" w:rsidR="00201766" w:rsidRPr="00201766" w:rsidRDefault="00772C55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4515" w14:textId="73F84256" w:rsidR="00201766" w:rsidRPr="00201766" w:rsidRDefault="00772C55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72C58" w14:textId="210DC0E6" w:rsidR="00201766" w:rsidRPr="00201766" w:rsidRDefault="00772C55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ED3B" w14:textId="41A82C18" w:rsidR="00201766" w:rsidRPr="00201766" w:rsidRDefault="00772C55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260E" w:rsidRPr="00BC42A7" w14:paraId="39572C5E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14C7E" w14:textId="2819D773" w:rsidR="009B260E" w:rsidRPr="00201766" w:rsidRDefault="009B260E" w:rsidP="009B260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02DF3" w14:textId="17BC3298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734D">
              <w:rPr>
                <w:rFonts w:eastAsia="Times New Roman" w:cs="Times New Roman"/>
                <w:color w:val="000000"/>
                <w:sz w:val="20"/>
                <w:szCs w:val="20"/>
              </w:rPr>
              <w:t>Structural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FBB9C" w14:textId="74699F97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Sussex Central High School/Indian River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44F0" w14:textId="79AD8CF8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902" w14:textId="6E34A5D7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B1F94" w14:textId="3764E115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77743" w14:textId="56D11C3D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9B260E" w:rsidRPr="00BC42A7" w14:paraId="68698628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84782" w14:textId="5AC45A8B" w:rsidR="009B260E" w:rsidRPr="0028479D" w:rsidRDefault="009B260E" w:rsidP="009B260E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9B260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4E5F" w14:textId="6D3E23B9" w:rsidR="009B260E" w:rsidRPr="006D734D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Power and Mechanical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76E00" w14:textId="56767193" w:rsidR="009B260E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Sussex Central High School/Indian River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C785" w14:textId="6C77F26D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2B23" w14:textId="14CB4940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58DE5" w14:textId="1CE1631F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15C2B" w14:textId="2B59B89C" w:rsidR="009B260E" w:rsidRPr="00201766" w:rsidRDefault="0024007D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9B260E" w:rsidRPr="00BC42A7" w14:paraId="24FEA967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93752B" w14:textId="5844A2A6" w:rsidR="009B260E" w:rsidRPr="00201766" w:rsidRDefault="009B260E" w:rsidP="009B260E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.04301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B215" w14:textId="4FDA16AF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Power and Mechanical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6CA10" w14:textId="288CFA49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Lake Forest High School/Lake Forest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9A02" w14:textId="69CA76D6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2288" w14:textId="2B4F5913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89326" w14:textId="69FA9C96" w:rsidR="009B260E" w:rsidRPr="00201766" w:rsidRDefault="00772C55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1E72E" w14:textId="5F19F03F" w:rsidR="009B260E" w:rsidRPr="00201766" w:rsidRDefault="0024007D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B260E" w:rsidRPr="00BC42A7" w14:paraId="49493969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6EF59E" w14:textId="621E72A2" w:rsidR="009B260E" w:rsidRPr="00201766" w:rsidRDefault="009B260E" w:rsidP="009B260E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7C9F" w14:textId="20CAC4B0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734D">
              <w:rPr>
                <w:rFonts w:eastAsia="Times New Roman" w:cs="Times New Roman"/>
                <w:color w:val="000000"/>
                <w:sz w:val="20"/>
                <w:szCs w:val="20"/>
              </w:rPr>
              <w:t>Structural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D1E2" w14:textId="37C4B934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Laurel High School/Laurel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70CA" w14:textId="1C400F0B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DD3B" w14:textId="7A830F09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91759" w14:textId="0F417EA5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16EEC" w14:textId="4A17118F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9B260E" w:rsidRPr="00BC42A7" w14:paraId="65CE67C5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5AB31" w14:textId="45209F00" w:rsidR="009B260E" w:rsidRPr="00201766" w:rsidRDefault="009B260E" w:rsidP="009B260E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40E7" w14:textId="1DE84A0A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734D">
              <w:rPr>
                <w:rFonts w:eastAsia="Times New Roman" w:cs="Times New Roman"/>
                <w:color w:val="000000"/>
                <w:sz w:val="20"/>
                <w:szCs w:val="20"/>
              </w:rPr>
              <w:t>Structural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7D068" w14:textId="56C7672F" w:rsidR="009B260E" w:rsidRPr="00201766" w:rsidRDefault="009B260E" w:rsidP="009B260E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Milford High School/Milford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149B" w14:textId="771BCBFF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2438" w14:textId="56039E66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7519" w14:textId="3717A10E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52A8E" w14:textId="6971FD22" w:rsidR="009B260E" w:rsidRPr="00201766" w:rsidRDefault="001060A2" w:rsidP="009B260E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1060A2" w:rsidRPr="00BC42A7" w14:paraId="32AF11F5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51BDB" w14:textId="08B134C0" w:rsidR="001060A2" w:rsidRPr="0028479D" w:rsidRDefault="001060A2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02D7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947A" w14:textId="11415895" w:rsidR="001060A2" w:rsidRPr="006D734D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Power and Mechanical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EBFB9" w14:textId="5AE500D5" w:rsidR="001060A2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Milford High School/Milford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E6E8" w14:textId="6A756709" w:rsidR="001060A2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5629" w14:textId="731AA7BF" w:rsidR="001060A2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60A63" w14:textId="601F0D30" w:rsidR="001060A2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20E1" w14:textId="7DE41A1A" w:rsidR="001060A2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1060A2" w:rsidRPr="00BC42A7" w14:paraId="682ED6B7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828114" w14:textId="0F808DEE" w:rsidR="001060A2" w:rsidRPr="00201766" w:rsidRDefault="001060A2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A1A6" w14:textId="736D1AA7" w:rsidR="001060A2" w:rsidRPr="00201766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734D">
              <w:rPr>
                <w:rFonts w:eastAsia="Times New Roman" w:cs="Times New Roman"/>
                <w:color w:val="000000"/>
                <w:sz w:val="20"/>
                <w:szCs w:val="20"/>
              </w:rPr>
              <w:t>Structural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C3EC9" w14:textId="38A3FA89" w:rsidR="001060A2" w:rsidRPr="00201766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Smyrna High School/Smyrna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8AED" w14:textId="0E9C2331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5AC6" w14:textId="0CCFB2F6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62C01" w14:textId="1F7CE39C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3068C" w14:textId="33B552AB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1060A2" w:rsidRPr="00BC42A7" w14:paraId="2AC648B0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217ED8" w14:textId="49A97CF9" w:rsidR="001060A2" w:rsidRPr="0028479D" w:rsidRDefault="001060A2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02D7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067A" w14:textId="4BE73F15" w:rsidR="001060A2" w:rsidRPr="006D734D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Power and Mechanical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14046" w14:textId="237573BB" w:rsidR="001060A2" w:rsidRPr="00201766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260E">
              <w:rPr>
                <w:rFonts w:eastAsia="Times New Roman" w:cs="Times New Roman"/>
                <w:color w:val="000000"/>
                <w:sz w:val="20"/>
                <w:szCs w:val="20"/>
              </w:rPr>
              <w:t>Smyrna High School/Smyrna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A1FB" w14:textId="6F73B75A" w:rsidR="001060A2" w:rsidRPr="00201766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113F" w14:textId="559ACC19" w:rsidR="001060A2" w:rsidRPr="00201766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C697D" w14:textId="189A40A1" w:rsidR="001060A2" w:rsidRPr="00201766" w:rsidRDefault="00772C55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7C4D0" w14:textId="286E7A7F" w:rsidR="001060A2" w:rsidRPr="00201766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1060A2" w:rsidRPr="00BC42A7" w14:paraId="71D088E2" w14:textId="77777777" w:rsidTr="000D2E64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DFB66D" w14:textId="22689524" w:rsidR="001060A2" w:rsidRPr="0028479D" w:rsidRDefault="001060A2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28479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1.04302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45F2" w14:textId="212E4E9C" w:rsidR="001060A2" w:rsidRPr="006D734D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734D">
              <w:rPr>
                <w:rFonts w:eastAsia="Times New Roman" w:cs="Times New Roman"/>
                <w:color w:val="000000"/>
                <w:sz w:val="20"/>
                <w:szCs w:val="20"/>
              </w:rPr>
              <w:t>Structural Systems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6204B" w14:textId="15AD96E4" w:rsidR="001060A2" w:rsidRPr="00201766" w:rsidRDefault="001060A2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Woodbridge High School/Woodbridge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ACBE" w14:textId="6FBC25B5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EA83" w14:textId="081E46FB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D763C" w14:textId="2F93A133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DC30C" w14:textId="5AE960E3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1060A2" w:rsidRPr="00BC42A7" w14:paraId="084E29D4" w14:textId="77777777" w:rsidTr="00201766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1060A2" w:rsidRPr="00201766" w:rsidRDefault="001060A2" w:rsidP="001060A2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Post-Secondary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7902FD" w14:textId="77777777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0E6D8FF" w14:textId="77777777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1060A2" w:rsidRPr="00201766" w:rsidRDefault="001060A2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60A2" w:rsidRPr="00BC42A7" w14:paraId="2B5C46BB" w14:textId="77777777" w:rsidTr="00201766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865E5" w14:textId="4E0ADB58" w:rsidR="001060A2" w:rsidRPr="00201766" w:rsidRDefault="000363BB" w:rsidP="001060A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47.0604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DB" w14:textId="2E11B761" w:rsidR="001060A2" w:rsidRPr="00201766" w:rsidRDefault="000363BB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Automobiles/Automotive Mechanics Technology/Technician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8F28" w14:textId="6187D83B" w:rsidR="001060A2" w:rsidRPr="00201766" w:rsidRDefault="0024007D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Technical College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3F4" w14:textId="2E610714" w:rsidR="001060A2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9FC" w14:textId="29BA5C5A" w:rsidR="001060A2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24007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16A4B" w14:textId="5756F8BA" w:rsidR="001060A2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6862" w14:textId="19FC4558" w:rsidR="001060A2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060A2" w:rsidRPr="00BC42A7" w14:paraId="7F8CC182" w14:textId="77777777" w:rsidTr="0024007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450A3" w14:textId="10AEEB9E" w:rsidR="001060A2" w:rsidRPr="00201766" w:rsidRDefault="0024007D" w:rsidP="001060A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52.0205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EF" w14:textId="5F4E72D9" w:rsidR="001060A2" w:rsidRPr="00201766" w:rsidRDefault="0024007D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Operations Management and Supervision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5720B" w14:textId="5754B6B7" w:rsidR="001060A2" w:rsidRPr="00201766" w:rsidRDefault="0024007D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F155" w14:textId="6C822422" w:rsidR="001060A2" w:rsidRPr="00201766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B8F" w14:textId="10CC35C8" w:rsidR="001060A2" w:rsidRPr="00201766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60D5" w14:textId="308AC3DD" w:rsidR="001060A2" w:rsidRPr="00201766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CBAF2" w14:textId="2A555438" w:rsidR="001060A2" w:rsidRPr="00201766" w:rsidRDefault="0024007D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4007D" w:rsidRPr="00BC42A7" w14:paraId="62536A58" w14:textId="77777777" w:rsidTr="0024007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425B" w14:textId="476CD96F" w:rsidR="0024007D" w:rsidRPr="00201766" w:rsidRDefault="007C0477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48.0501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6A3C" w14:textId="75B243E8" w:rsidR="0024007D" w:rsidRPr="00201766" w:rsidRDefault="007C0477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Machine Tool Technology/Machinist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55D15" w14:textId="64B80278" w:rsidR="0024007D" w:rsidRPr="00201766" w:rsidRDefault="0024007D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Technical College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CDF0" w14:textId="327123E6" w:rsidR="0024007D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4BD3" w14:textId="49FC6CDE" w:rsidR="0024007D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EBD1C" w14:textId="190B888D" w:rsidR="0024007D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9C4E6" w14:textId="46A4B94B" w:rsidR="0024007D" w:rsidRPr="00201766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0477" w:rsidRPr="00BC42A7" w14:paraId="406E68AC" w14:textId="77777777" w:rsidTr="0024007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6C028" w14:textId="60279BDD" w:rsidR="007C0477" w:rsidRDefault="007C0477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48.0503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961F" w14:textId="4128597A" w:rsidR="007C0477" w:rsidRDefault="007C0477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Machine Tool Technology/Assistant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A0A11" w14:textId="329F7330" w:rsidR="007C0477" w:rsidRDefault="007C0477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Technical College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E9BE" w14:textId="00AF0853" w:rsidR="007C0477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075F" w14:textId="4A9ABB6F" w:rsidR="007C0477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BB056" w14:textId="71201169" w:rsidR="007C0477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8B180" w14:textId="143E8B7C" w:rsidR="007C0477" w:rsidRDefault="007C0477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049F" w:rsidRPr="00BC42A7" w14:paraId="7D932F5D" w14:textId="77777777" w:rsidTr="0024007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BEA64" w14:textId="77777777" w:rsidR="00BA049F" w:rsidRDefault="00BA049F" w:rsidP="001060A2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D9E3" w14:textId="221B35D9" w:rsidR="00BA049F" w:rsidRDefault="00BA049F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Electrical Trades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2D852" w14:textId="3F31258B" w:rsidR="00BA049F" w:rsidRDefault="00BA049F" w:rsidP="001060A2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049F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8933" w14:textId="77777777" w:rsidR="00BA049F" w:rsidRDefault="00BA049F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20F9" w14:textId="77777777" w:rsidR="00BA049F" w:rsidRDefault="00BA049F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2DA2E" w14:textId="77777777" w:rsidR="00BA049F" w:rsidRDefault="00BA049F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8FBDD" w14:textId="476A9A68" w:rsidR="00BA049F" w:rsidRDefault="00BA049F" w:rsidP="001060A2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BA049F" w:rsidRPr="00BC42A7" w14:paraId="7416D38E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63F15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CA0B" w14:textId="0079891F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Heavy Equipment Operator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9D16E" w14:textId="280276BF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4A3F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1CBC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45D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7385F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A8AAC" w14:textId="575E4525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A049F" w:rsidRPr="00BC42A7" w14:paraId="28B9C3FD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B7BB4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CE0" w14:textId="655D5111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Iron Workers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EA7F7" w14:textId="019243C0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4A3F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795D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94F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999B3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A5D4A" w14:textId="37FE0CE2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049F" w:rsidRPr="00BC42A7" w14:paraId="46A70BC4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7F754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36D1" w14:textId="36272603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Pipefitting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CBDFF2" w14:textId="62BC12A3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0961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0F98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1B6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20873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AE8EF" w14:textId="23B2D89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A049F" w:rsidRPr="00BC42A7" w14:paraId="541A85C6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FDB0B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2384" w14:textId="55E150DA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Sheet Metal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655B9" w14:textId="6423DE50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0961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5AB9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2DBE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3B740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9FB4D" w14:textId="3CF4775C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BA049F" w:rsidRPr="00BC42A7" w14:paraId="4443383D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CFC64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5FC4" w14:textId="69C1F0FC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5E16E" w14:textId="4F14A0DE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0961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2349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77B2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0A8C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7AE36" w14:textId="24BE501A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A049F" w:rsidRPr="00BC42A7" w14:paraId="21F88CEE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86C4F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CE31" w14:textId="1CA720CC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Machinist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A6102F" w14:textId="70356ADB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049F">
              <w:rPr>
                <w:rFonts w:eastAsia="Times New Roman" w:cs="Times New Roman"/>
                <w:color w:val="000000"/>
                <w:sz w:val="20"/>
                <w:szCs w:val="20"/>
              </w:rPr>
              <w:t>New Castle County Vo-Tech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A181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82C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B38FE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64F99" w14:textId="5D0A0FE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A049F" w:rsidRPr="00BC42A7" w14:paraId="252F92FC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6B811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1D33" w14:textId="66159E81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Electrical Trades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4CE9C5" w14:textId="55B73A67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Polytech</w:t>
            </w:r>
            <w:r w:rsidR="002D1907">
              <w:rPr>
                <w:rFonts w:eastAsia="Times New Roman" w:cs="Times New Roman"/>
                <w:color w:val="000000"/>
                <w:sz w:val="20"/>
                <w:szCs w:val="20"/>
              </w:rPr>
              <w:t>nical</w:t>
            </w:r>
            <w:proofErr w:type="spellEnd"/>
            <w:r w:rsidR="002D19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Institute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05E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58DD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A1059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1D5B1" w14:textId="5A8B3DCD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049F" w:rsidRPr="00BC42A7" w14:paraId="37410E08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9537B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7059" w14:textId="059E5A26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Industrial Maintenance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B6D7EF" w14:textId="07F24D25" w:rsidR="00BA049F" w:rsidRPr="00A34A3F" w:rsidRDefault="002D1907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907">
              <w:rPr>
                <w:rFonts w:eastAsia="Times New Roman" w:cs="Times New Roman"/>
                <w:color w:val="000000"/>
                <w:sz w:val="20"/>
                <w:szCs w:val="20"/>
              </w:rPr>
              <w:t>Polytechnical</w:t>
            </w:r>
            <w:proofErr w:type="spellEnd"/>
            <w:r w:rsidRPr="002D19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Institute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97E3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8B73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B8627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7C08" w14:textId="294B1DE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049F" w:rsidRPr="00BC42A7" w14:paraId="3CAF2621" w14:textId="77777777" w:rsidTr="001D51AD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CBF1F" w14:textId="77777777" w:rsidR="00BA049F" w:rsidRDefault="00BA049F" w:rsidP="00BA049F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FF7A" w14:textId="3A748985" w:rsidR="00BA049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Electrical Trades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19E7F" w14:textId="0A396867" w:rsidR="00BA049F" w:rsidRPr="00A34A3F" w:rsidRDefault="00BA049F" w:rsidP="00BA049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Sussex Vocational Technical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4A4C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2F7C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774D9" w14:textId="77777777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A89A4" w14:textId="1F0C9F7D" w:rsidR="00BA049F" w:rsidRDefault="00BA049F" w:rsidP="00BA049F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</w:t>
      </w:r>
      <w:proofErr w:type="gramStart"/>
      <w:r w:rsidR="00486D58">
        <w:rPr>
          <w:rFonts w:eastAsia="Times New Roman" w:cs="Times New Roman"/>
          <w:b/>
          <w:color w:val="000000"/>
          <w:u w:val="single"/>
        </w:rPr>
        <w:t>)</w:t>
      </w:r>
      <w:proofErr w:type="gramEnd"/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5E990037" w14:textId="77777777" w:rsidR="008629B2" w:rsidRDefault="008629B2" w:rsidP="008629B2">
      <w:pPr>
        <w:spacing w:after="0" w:line="276" w:lineRule="auto"/>
        <w:ind w:left="360"/>
        <w:rPr>
          <w:rFonts w:ascii="Calibri" w:eastAsia="Times New Roman" w:hAnsi="Calibri" w:cs="Times New Roman"/>
          <w:b/>
          <w:color w:val="000000"/>
        </w:rPr>
      </w:pPr>
    </w:p>
    <w:p w14:paraId="123A97D4" w14:textId="68A034E6" w:rsidR="008629B2" w:rsidRPr="000254B8" w:rsidRDefault="008629B2" w:rsidP="008629B2">
      <w:pPr>
        <w:spacing w:after="0" w:line="276" w:lineRule="auto"/>
        <w:ind w:left="360"/>
        <w:rPr>
          <w:rFonts w:ascii="Calibri" w:eastAsia="Times New Roman" w:hAnsi="Calibri" w:cs="Times New Roman"/>
          <w:b/>
          <w:color w:val="000000"/>
        </w:rPr>
      </w:pPr>
      <w:r w:rsidRPr="000254B8">
        <w:rPr>
          <w:rFonts w:ascii="Calibri" w:eastAsia="Times New Roman" w:hAnsi="Calibri" w:cs="Times New Roman"/>
          <w:b/>
          <w:color w:val="000000"/>
        </w:rPr>
        <w:t xml:space="preserve">The </w:t>
      </w:r>
      <w:r>
        <w:rPr>
          <w:rFonts w:ascii="Calibri" w:eastAsia="Times New Roman" w:hAnsi="Calibri" w:cs="Times New Roman"/>
          <w:b/>
          <w:color w:val="000000"/>
        </w:rPr>
        <w:t>agricultural power and engineering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program of study is a </w:t>
      </w:r>
      <w:r>
        <w:rPr>
          <w:rFonts w:ascii="Calibri" w:eastAsia="Times New Roman" w:hAnsi="Calibri" w:cs="Times New Roman"/>
          <w:b/>
          <w:color w:val="000000"/>
        </w:rPr>
        <w:t xml:space="preserve">broad 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program that connects </w:t>
      </w:r>
      <w:proofErr w:type="gramStart"/>
      <w:r w:rsidRPr="000254B8">
        <w:rPr>
          <w:rFonts w:ascii="Calibri" w:eastAsia="Times New Roman" w:hAnsi="Calibri" w:cs="Times New Roman"/>
          <w:b/>
          <w:color w:val="000000"/>
        </w:rPr>
        <w:t>to</w:t>
      </w:r>
      <w:proofErr w:type="gramEnd"/>
      <w:r w:rsidRPr="000254B8">
        <w:rPr>
          <w:rFonts w:ascii="Calibri" w:eastAsia="Times New Roman" w:hAnsi="Calibri" w:cs="Times New Roman"/>
          <w:b/>
          <w:color w:val="000000"/>
        </w:rPr>
        <w:t xml:space="preserve"> </w:t>
      </w:r>
      <w:r>
        <w:rPr>
          <w:rFonts w:ascii="Calibri" w:eastAsia="Times New Roman" w:hAnsi="Calibri" w:cs="Times New Roman"/>
          <w:b/>
          <w:color w:val="000000"/>
        </w:rPr>
        <w:t>many related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post-secondary degree and certification programs at</w:t>
      </w:r>
      <w:r>
        <w:rPr>
          <w:rFonts w:ascii="Calibri" w:eastAsia="Times New Roman" w:hAnsi="Calibri" w:cs="Times New Roman"/>
          <w:b/>
          <w:color w:val="000000"/>
        </w:rPr>
        <w:t xml:space="preserve"> adult education center, as well as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two- and four- year institutions of higher education.  Specifically, the </w:t>
      </w:r>
      <w:r>
        <w:rPr>
          <w:rFonts w:eastAsia="Times New Roman" w:cs="Times New Roman"/>
          <w:b/>
          <w:color w:val="000000"/>
        </w:rPr>
        <w:t>agricultural power and engineering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program of study will prepare students for related study in </w:t>
      </w:r>
      <w:r>
        <w:rPr>
          <w:rFonts w:ascii="Calibri" w:eastAsia="Times New Roman" w:hAnsi="Calibri" w:cs="Times New Roman"/>
          <w:b/>
          <w:color w:val="000000"/>
        </w:rPr>
        <w:t xml:space="preserve">industrial maintenance, metal fabrication, mechanic trades as well as </w:t>
      </w:r>
      <w:r w:rsidRPr="000254B8">
        <w:rPr>
          <w:rFonts w:ascii="Calibri" w:eastAsia="Times New Roman" w:hAnsi="Calibri" w:cs="Times New Roman"/>
          <w:b/>
          <w:color w:val="000000"/>
        </w:rPr>
        <w:t>engineering post-secondary programs.</w:t>
      </w: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12407EE2" w14:textId="77777777" w:rsidR="008629B2" w:rsidRDefault="008629B2" w:rsidP="008629B2">
      <w:pPr>
        <w:spacing w:after="0" w:line="276" w:lineRule="auto"/>
        <w:ind w:left="360"/>
        <w:contextualSpacing/>
        <w:rPr>
          <w:rFonts w:ascii="Calibri" w:eastAsia="Times New Roman" w:hAnsi="Calibri" w:cs="Times New Roman"/>
          <w:b/>
          <w:color w:val="000000"/>
        </w:rPr>
      </w:pPr>
    </w:p>
    <w:p w14:paraId="2A9AE2B0" w14:textId="0D5EC45B" w:rsidR="008629B2" w:rsidRPr="000254B8" w:rsidRDefault="008629B2" w:rsidP="008629B2">
      <w:pPr>
        <w:spacing w:after="0" w:line="276" w:lineRule="auto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0254B8">
        <w:rPr>
          <w:rFonts w:ascii="Calibri" w:eastAsia="Times New Roman" w:hAnsi="Calibri" w:cs="Times New Roman"/>
          <w:b/>
          <w:color w:val="000000"/>
        </w:rPr>
        <w:t xml:space="preserve">As illustrated by the number of enrolled students, there is </w:t>
      </w:r>
      <w:r w:rsidRPr="0006465F">
        <w:rPr>
          <w:rFonts w:ascii="Calibri" w:eastAsia="Times New Roman" w:hAnsi="Calibri" w:cs="Times New Roman"/>
          <w:b/>
          <w:color w:val="000000"/>
        </w:rPr>
        <w:t>high interest in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</w:t>
      </w:r>
      <w:r>
        <w:rPr>
          <w:rFonts w:ascii="Calibri" w:eastAsia="Times New Roman" w:hAnsi="Calibri" w:cs="Times New Roman"/>
          <w:b/>
          <w:color w:val="000000"/>
        </w:rPr>
        <w:t>agricultural power and engineering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programs at the postsecondary level.  Therefore, a</w:t>
      </w:r>
      <w:r>
        <w:rPr>
          <w:rFonts w:ascii="Calibri" w:eastAsia="Times New Roman" w:hAnsi="Calibri" w:cs="Times New Roman"/>
          <w:b/>
          <w:color w:val="000000"/>
        </w:rPr>
        <w:t>n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</w:t>
      </w:r>
      <w:r>
        <w:rPr>
          <w:rFonts w:ascii="Calibri" w:eastAsia="Times New Roman" w:hAnsi="Calibri" w:cs="Times New Roman"/>
          <w:b/>
          <w:color w:val="000000"/>
        </w:rPr>
        <w:t>agricultural power and engineering</w:t>
      </w:r>
      <w:r w:rsidRPr="000254B8">
        <w:rPr>
          <w:rFonts w:ascii="Calibri" w:eastAsia="Times New Roman" w:hAnsi="Calibri" w:cs="Times New Roman"/>
          <w:b/>
          <w:color w:val="000000"/>
        </w:rPr>
        <w:t xml:space="preserve"> program of study at the secondary level will better prepare students with the skills and knowledge to enter post-secondary programs.  This work will lead to students achieving articulated credit while in high school and lessening the amount of time required to enter the workforce. </w:t>
      </w:r>
    </w:p>
    <w:p w14:paraId="0A4D7027" w14:textId="77777777"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78321045" w14:textId="77777777"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18F97EF8" w14:textId="77777777" w:rsidR="007D56FA" w:rsidRPr="00BC42A7" w:rsidRDefault="007D56FA" w:rsidP="0020582C">
      <w:pPr>
        <w:spacing w:after="0" w:line="276" w:lineRule="auto"/>
        <w:rPr>
          <w:rFonts w:eastAsia="Times New Roman" w:cs="Times New Roman"/>
          <w:color w:val="000000"/>
        </w:rPr>
      </w:pPr>
    </w:p>
    <w:sectPr w:rsidR="007D56FA" w:rsidRPr="00BC42A7" w:rsidSect="00FC3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E0A3" w14:textId="77777777" w:rsidR="00BA049F" w:rsidRDefault="00BA0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44ADCA6E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0E1FD9" w14:textId="0F536908" w:rsidR="00FC3B18" w:rsidRDefault="00FC3B18">
    <w:pPr>
      <w:pStyle w:val="Footer"/>
    </w:pPr>
    <w:r>
      <w:t>Delaware Depa</w:t>
    </w:r>
    <w:r w:rsidR="00AC7B34">
      <w:t>rtment of Education</w:t>
    </w:r>
    <w:r w:rsidR="00AC7B34">
      <w:tab/>
    </w:r>
    <w:r w:rsidR="00AC7B34">
      <w:tab/>
    </w:r>
    <w:r w:rsidR="00AC7B34">
      <w:tab/>
    </w:r>
    <w:r w:rsidR="00AC7B34">
      <w:tab/>
    </w:r>
    <w:r w:rsidR="00EE2037">
      <w:t>DRAFT – 2</w:t>
    </w:r>
    <w:r w:rsidR="00BA049F">
      <w:t>2</w:t>
    </w:r>
    <w:r>
      <w:t xml:space="preserve"> </w:t>
    </w:r>
    <w:r w:rsidR="00AC7B34">
      <w:t>Aug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A32" w14:textId="77777777" w:rsidR="00BA049F" w:rsidRDefault="00BA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CDAE" w14:textId="77777777" w:rsidR="00BA049F" w:rsidRDefault="00BA0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A4A6" w14:textId="77777777" w:rsidR="00BA049F" w:rsidRDefault="00BA0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62F3" w14:textId="77777777" w:rsidR="00BA049F" w:rsidRDefault="00BA0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00BA2"/>
    <w:rsid w:val="00026B3C"/>
    <w:rsid w:val="0003491E"/>
    <w:rsid w:val="000363BB"/>
    <w:rsid w:val="000422AC"/>
    <w:rsid w:val="00053D48"/>
    <w:rsid w:val="00054221"/>
    <w:rsid w:val="00056FFA"/>
    <w:rsid w:val="000572AB"/>
    <w:rsid w:val="00062BC1"/>
    <w:rsid w:val="00080C7D"/>
    <w:rsid w:val="00084564"/>
    <w:rsid w:val="00084FF8"/>
    <w:rsid w:val="00085688"/>
    <w:rsid w:val="00086F8E"/>
    <w:rsid w:val="000875B2"/>
    <w:rsid w:val="000A1223"/>
    <w:rsid w:val="000A3609"/>
    <w:rsid w:val="000C0AF9"/>
    <w:rsid w:val="000D02C3"/>
    <w:rsid w:val="000D0919"/>
    <w:rsid w:val="000D0B02"/>
    <w:rsid w:val="000E7AD2"/>
    <w:rsid w:val="000E7C5F"/>
    <w:rsid w:val="000F16E6"/>
    <w:rsid w:val="000F233F"/>
    <w:rsid w:val="00103848"/>
    <w:rsid w:val="00106061"/>
    <w:rsid w:val="001060A2"/>
    <w:rsid w:val="001143EA"/>
    <w:rsid w:val="001145EA"/>
    <w:rsid w:val="00135C44"/>
    <w:rsid w:val="00141D30"/>
    <w:rsid w:val="0014677D"/>
    <w:rsid w:val="00147A8F"/>
    <w:rsid w:val="00162DCA"/>
    <w:rsid w:val="00173E94"/>
    <w:rsid w:val="00175AB0"/>
    <w:rsid w:val="0018344A"/>
    <w:rsid w:val="00184266"/>
    <w:rsid w:val="00186241"/>
    <w:rsid w:val="00196B43"/>
    <w:rsid w:val="001A361A"/>
    <w:rsid w:val="001A36B1"/>
    <w:rsid w:val="001B69A2"/>
    <w:rsid w:val="001C02D1"/>
    <w:rsid w:val="001D0E6B"/>
    <w:rsid w:val="001E1BB3"/>
    <w:rsid w:val="001F0404"/>
    <w:rsid w:val="001F6015"/>
    <w:rsid w:val="00201766"/>
    <w:rsid w:val="0020582C"/>
    <w:rsid w:val="002140F1"/>
    <w:rsid w:val="00222E02"/>
    <w:rsid w:val="0024007D"/>
    <w:rsid w:val="00242F48"/>
    <w:rsid w:val="00246F9E"/>
    <w:rsid w:val="00250105"/>
    <w:rsid w:val="002647E2"/>
    <w:rsid w:val="00273618"/>
    <w:rsid w:val="002742CC"/>
    <w:rsid w:val="00285B14"/>
    <w:rsid w:val="0028603C"/>
    <w:rsid w:val="002A5F23"/>
    <w:rsid w:val="002B181D"/>
    <w:rsid w:val="002D1907"/>
    <w:rsid w:val="002D3850"/>
    <w:rsid w:val="002E63F6"/>
    <w:rsid w:val="002F0DF7"/>
    <w:rsid w:val="00300157"/>
    <w:rsid w:val="003063E9"/>
    <w:rsid w:val="00306C39"/>
    <w:rsid w:val="00307FA2"/>
    <w:rsid w:val="0031228A"/>
    <w:rsid w:val="00322D02"/>
    <w:rsid w:val="003259F0"/>
    <w:rsid w:val="00327294"/>
    <w:rsid w:val="003303EE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3E287E"/>
    <w:rsid w:val="004075CF"/>
    <w:rsid w:val="004437A7"/>
    <w:rsid w:val="00455619"/>
    <w:rsid w:val="00455C2D"/>
    <w:rsid w:val="0045735E"/>
    <w:rsid w:val="004663FD"/>
    <w:rsid w:val="0047119B"/>
    <w:rsid w:val="00471643"/>
    <w:rsid w:val="0047313A"/>
    <w:rsid w:val="00483A8D"/>
    <w:rsid w:val="004842D1"/>
    <w:rsid w:val="00486D58"/>
    <w:rsid w:val="00493283"/>
    <w:rsid w:val="004977CE"/>
    <w:rsid w:val="004B742E"/>
    <w:rsid w:val="004C5939"/>
    <w:rsid w:val="004D62D1"/>
    <w:rsid w:val="004E3730"/>
    <w:rsid w:val="004E470F"/>
    <w:rsid w:val="004E66EB"/>
    <w:rsid w:val="004F536E"/>
    <w:rsid w:val="00500C5E"/>
    <w:rsid w:val="0050145C"/>
    <w:rsid w:val="00520E86"/>
    <w:rsid w:val="00544B6E"/>
    <w:rsid w:val="00554185"/>
    <w:rsid w:val="00556667"/>
    <w:rsid w:val="005819F8"/>
    <w:rsid w:val="00587A5A"/>
    <w:rsid w:val="00592F23"/>
    <w:rsid w:val="00596968"/>
    <w:rsid w:val="005A2050"/>
    <w:rsid w:val="005A41A6"/>
    <w:rsid w:val="005B5593"/>
    <w:rsid w:val="005D2764"/>
    <w:rsid w:val="005E2771"/>
    <w:rsid w:val="005E6989"/>
    <w:rsid w:val="006004D2"/>
    <w:rsid w:val="00616BCD"/>
    <w:rsid w:val="00625F78"/>
    <w:rsid w:val="006338F9"/>
    <w:rsid w:val="00634E58"/>
    <w:rsid w:val="00637AEF"/>
    <w:rsid w:val="0065743D"/>
    <w:rsid w:val="00666B72"/>
    <w:rsid w:val="00676462"/>
    <w:rsid w:val="0069111B"/>
    <w:rsid w:val="006C457D"/>
    <w:rsid w:val="006D3858"/>
    <w:rsid w:val="006D6F53"/>
    <w:rsid w:val="006E063A"/>
    <w:rsid w:val="006E2130"/>
    <w:rsid w:val="006F6FA8"/>
    <w:rsid w:val="00725FA1"/>
    <w:rsid w:val="0074036C"/>
    <w:rsid w:val="00741E0F"/>
    <w:rsid w:val="0075138D"/>
    <w:rsid w:val="0075682A"/>
    <w:rsid w:val="00756F29"/>
    <w:rsid w:val="007659BC"/>
    <w:rsid w:val="00772C55"/>
    <w:rsid w:val="00795F0A"/>
    <w:rsid w:val="007A5B8D"/>
    <w:rsid w:val="007B1BCC"/>
    <w:rsid w:val="007B48BF"/>
    <w:rsid w:val="007B7771"/>
    <w:rsid w:val="007C0477"/>
    <w:rsid w:val="007C17FB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2D4C"/>
    <w:rsid w:val="008273AC"/>
    <w:rsid w:val="008334B0"/>
    <w:rsid w:val="00835D04"/>
    <w:rsid w:val="00837896"/>
    <w:rsid w:val="0085131D"/>
    <w:rsid w:val="0085584C"/>
    <w:rsid w:val="0086223B"/>
    <w:rsid w:val="008629B2"/>
    <w:rsid w:val="0087276A"/>
    <w:rsid w:val="00881F6A"/>
    <w:rsid w:val="0088348F"/>
    <w:rsid w:val="008C0BE1"/>
    <w:rsid w:val="008C642E"/>
    <w:rsid w:val="008D47EF"/>
    <w:rsid w:val="008E5E1A"/>
    <w:rsid w:val="00900CF8"/>
    <w:rsid w:val="00945EF1"/>
    <w:rsid w:val="00955926"/>
    <w:rsid w:val="009567C7"/>
    <w:rsid w:val="0096797E"/>
    <w:rsid w:val="00973669"/>
    <w:rsid w:val="00976FB6"/>
    <w:rsid w:val="0097723D"/>
    <w:rsid w:val="00977DC9"/>
    <w:rsid w:val="009870CD"/>
    <w:rsid w:val="00994D2A"/>
    <w:rsid w:val="009B084F"/>
    <w:rsid w:val="009B260E"/>
    <w:rsid w:val="009B5B33"/>
    <w:rsid w:val="009C5937"/>
    <w:rsid w:val="009C5BF5"/>
    <w:rsid w:val="009F3086"/>
    <w:rsid w:val="009F3397"/>
    <w:rsid w:val="009F58C7"/>
    <w:rsid w:val="009F7E84"/>
    <w:rsid w:val="00A03B43"/>
    <w:rsid w:val="00A41E2D"/>
    <w:rsid w:val="00A421AC"/>
    <w:rsid w:val="00A556FB"/>
    <w:rsid w:val="00A6266B"/>
    <w:rsid w:val="00A71990"/>
    <w:rsid w:val="00A8452A"/>
    <w:rsid w:val="00A857BD"/>
    <w:rsid w:val="00A94B95"/>
    <w:rsid w:val="00AA096D"/>
    <w:rsid w:val="00AB7D0B"/>
    <w:rsid w:val="00AC7B34"/>
    <w:rsid w:val="00AC7F20"/>
    <w:rsid w:val="00AD131A"/>
    <w:rsid w:val="00AE09DF"/>
    <w:rsid w:val="00AF1304"/>
    <w:rsid w:val="00AF14DE"/>
    <w:rsid w:val="00AF3898"/>
    <w:rsid w:val="00AF7132"/>
    <w:rsid w:val="00B00ACF"/>
    <w:rsid w:val="00B07A3B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9BB"/>
    <w:rsid w:val="00B92821"/>
    <w:rsid w:val="00BA049F"/>
    <w:rsid w:val="00BA1E86"/>
    <w:rsid w:val="00BB37FE"/>
    <w:rsid w:val="00BB6E86"/>
    <w:rsid w:val="00BC42A7"/>
    <w:rsid w:val="00BC4F57"/>
    <w:rsid w:val="00BE0F67"/>
    <w:rsid w:val="00C00DCA"/>
    <w:rsid w:val="00C40563"/>
    <w:rsid w:val="00C54522"/>
    <w:rsid w:val="00C6382B"/>
    <w:rsid w:val="00C67008"/>
    <w:rsid w:val="00C81AD7"/>
    <w:rsid w:val="00C85F7C"/>
    <w:rsid w:val="00CA414B"/>
    <w:rsid w:val="00CB206B"/>
    <w:rsid w:val="00CB545D"/>
    <w:rsid w:val="00CC5038"/>
    <w:rsid w:val="00CF45A1"/>
    <w:rsid w:val="00D02D7D"/>
    <w:rsid w:val="00D137C6"/>
    <w:rsid w:val="00D15D9D"/>
    <w:rsid w:val="00D17C4E"/>
    <w:rsid w:val="00D256BF"/>
    <w:rsid w:val="00D27ABF"/>
    <w:rsid w:val="00D374D6"/>
    <w:rsid w:val="00D4369A"/>
    <w:rsid w:val="00D44F9A"/>
    <w:rsid w:val="00D46E7B"/>
    <w:rsid w:val="00D47DAF"/>
    <w:rsid w:val="00D578E9"/>
    <w:rsid w:val="00D65057"/>
    <w:rsid w:val="00D73C53"/>
    <w:rsid w:val="00D8146A"/>
    <w:rsid w:val="00D90C06"/>
    <w:rsid w:val="00D95D86"/>
    <w:rsid w:val="00DA1BD2"/>
    <w:rsid w:val="00DB1CED"/>
    <w:rsid w:val="00DB2F54"/>
    <w:rsid w:val="00DB51D6"/>
    <w:rsid w:val="00DB7DD0"/>
    <w:rsid w:val="00DC03D4"/>
    <w:rsid w:val="00DC3B14"/>
    <w:rsid w:val="00DD0AD4"/>
    <w:rsid w:val="00DE1965"/>
    <w:rsid w:val="00E044D2"/>
    <w:rsid w:val="00E04576"/>
    <w:rsid w:val="00E05F3A"/>
    <w:rsid w:val="00E1615C"/>
    <w:rsid w:val="00E37CD4"/>
    <w:rsid w:val="00E535C1"/>
    <w:rsid w:val="00E56944"/>
    <w:rsid w:val="00E56FFC"/>
    <w:rsid w:val="00E6647D"/>
    <w:rsid w:val="00E67E9C"/>
    <w:rsid w:val="00E71CAD"/>
    <w:rsid w:val="00E7231E"/>
    <w:rsid w:val="00E75913"/>
    <w:rsid w:val="00E9720F"/>
    <w:rsid w:val="00EA77E8"/>
    <w:rsid w:val="00EB1ABB"/>
    <w:rsid w:val="00EE2037"/>
    <w:rsid w:val="00EE4BC0"/>
    <w:rsid w:val="00EE4FAA"/>
    <w:rsid w:val="00EE6CA1"/>
    <w:rsid w:val="00EF0EB6"/>
    <w:rsid w:val="00EF5B7F"/>
    <w:rsid w:val="00F17444"/>
    <w:rsid w:val="00F2370F"/>
    <w:rsid w:val="00F31CA6"/>
    <w:rsid w:val="00F34D9D"/>
    <w:rsid w:val="00F44EE4"/>
    <w:rsid w:val="00F4502A"/>
    <w:rsid w:val="00F54BB5"/>
    <w:rsid w:val="00F66072"/>
    <w:rsid w:val="00F81FCE"/>
    <w:rsid w:val="00F872D6"/>
    <w:rsid w:val="00F9465B"/>
    <w:rsid w:val="00FC22C2"/>
    <w:rsid w:val="00FC3B18"/>
    <w:rsid w:val="00FD6376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DB143ED"/>
  <w15:docId w15:val="{B83EDCEA-C6D3-49E8-B6D2-2B4383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DCF0-EE21-4D18-82EA-1B8A55BE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 Melvin</dc:creator>
  <cp:lastModifiedBy>Stoner Lisa</cp:lastModifiedBy>
  <cp:revision>10</cp:revision>
  <cp:lastPrinted>2017-08-21T19:45:00Z</cp:lastPrinted>
  <dcterms:created xsi:type="dcterms:W3CDTF">2017-08-21T19:22:00Z</dcterms:created>
  <dcterms:modified xsi:type="dcterms:W3CDTF">2017-08-30T21:47:00Z</dcterms:modified>
</cp:coreProperties>
</file>